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Borders>
              <w:top w:val="none" w:color="FFFFFF" w:sz="0"/>
              <w:left w:val="none" w:color="FFFFFF" w:sz="0"/>
              <w:bottom w:val="none" w:color="FFFFFF" w:sz="0"/>
              <w:right w:val="none" w:color="FFFFFF" w:sz="0"/>
            </w:tcBorders>
            <w:shd w:fill="1a1a2e" w:val="clear"/>
            <w:tcMar>
              <w:top w:type="dxa" w:w="400"/>
              <w:left w:type="dxa" w:w="400"/>
              <w:bottom w:type="dxa" w:w="400"/>
              <w:right w:type="dxa" w:w="400"/>
            </w:tcMar>
          </w:tcPr>
          <w:p>
            <w:r>
              <w:rPr>
                <w:rFonts w:ascii="Arial" w:cs="Arial" w:eastAsia="Arial" w:hAnsi="Arial"/>
                <w:b/>
                <w:bCs/>
                <w:color w:val="FFFFFF"/>
                <w:sz w:val="52"/>
                <w:szCs w:val="52"/>
              </w:rPr>
              <w:t xml:space="preserve">WILLIAM KING</w:t>
            </w:r>
          </w:p>
          <w:p>
            <w:r>
              <w:rPr>
                <w:rFonts w:ascii="Arial" w:cs="Arial" w:eastAsia="Arial" w:hAnsi="Arial"/>
                <w:b/>
                <w:bCs/>
                <w:color w:val="C8922A"/>
                <w:sz w:val="52"/>
                <w:szCs w:val="52"/>
              </w:rPr>
              <w:t xml:space="preserve">CONSTRUCTION</w:t>
            </w:r>
          </w:p>
        </w:tc>
      </w:tr>
    </w:tbl>
    <w:p>
      <w:pPr>
        <w:spacing w:after="0" w:before="400"/>
      </w:pPr>
    </w:p>
    <w:p>
      <w:r>
        <w:rPr>
          <w:rFonts w:ascii="Arial" w:cs="Arial" w:eastAsia="Arial" w:hAnsi="Arial"/>
          <w:b/>
          <w:bCs/>
          <w:color w:val="1a1a2e"/>
          <w:sz w:val="44"/>
          <w:szCs w:val="44"/>
        </w:rPr>
        <w:t xml:space="preserve">CAPABILITY STATEMENT</w:t>
      </w:r>
    </w:p>
    <w:p>
      <w:pPr>
        <w:spacing w:after="0" w:before="200"/>
      </w:pPr>
    </w:p>
    <w:p>
      <w:pPr>
        <w:pBdr>
          <w:bottom w:val="single" w:color="C8922A" w:sz="6" w:space="1"/>
        </w:pBdr>
        <w:spacing w:after="300"/>
      </w:pPr>
    </w:p>
    <w:p>
      <w:pPr>
        <w:spacing w:after="0" w:before="200"/>
      </w:pPr>
    </w:p>
    <w:p>
      <w:pPr>
        <w:spacing w:after="160"/>
      </w:pPr>
      <w:r>
        <w:rPr>
          <w:rFonts w:ascii="Arial" w:cs="Arial" w:eastAsia="Arial" w:hAnsi="Arial"/>
          <w:color w:val="1a1a2e"/>
          <w:sz w:val="22"/>
          <w:szCs w:val="22"/>
        </w:rPr>
        <w:t xml:space="preserve">Award-winning, family-run construction business delivering exceptional projects across Cumbria and beyond. Specialists in construction, commercial contracting and nuclear works.</w:t>
      </w:r>
    </w:p>
    <w:p>
      <w:pPr>
        <w:spacing w:after="0" w:before="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a1a2e" w:val="clear"/>
            <w:tcMar>
              <w:top w:type="dxa" w:w="200"/>
              <w:left w:type="dxa" w:w="200"/>
              <w:bottom w:type="dxa" w:w="200"/>
              <w:right w:type="dxa" w:w="200"/>
            </w:tcMar>
            <w:vAlign w:val="center"/>
          </w:tcPr>
          <w:p>
            <w:pPr>
              <w:jc w:val="center"/>
            </w:pPr>
            <w:r>
              <w:rPr>
                <w:rFonts w:ascii="Arial" w:cs="Arial" w:eastAsia="Arial" w:hAnsi="Arial"/>
                <w:b/>
                <w:bCs/>
                <w:color w:val="C8922A"/>
                <w:sz w:val="48"/>
                <w:szCs w:val="48"/>
              </w:rPr>
              <w:t xml:space="preserve">18+</w:t>
            </w:r>
          </w:p>
          <w:p>
            <w:pPr>
              <w:jc w:val="center"/>
            </w:pPr>
            <w:r>
              <w:rPr>
                <w:rFonts w:ascii="Arial" w:cs="Arial" w:eastAsia="Arial" w:hAnsi="Arial"/>
                <w:color w:val="FFFFFF"/>
                <w:sz w:val="16"/>
                <w:szCs w:val="16"/>
              </w:rPr>
              <w:t xml:space="preserve">YEARS OPERATING</w:t>
            </w:r>
          </w:p>
        </w:tc>
        <w:tc>
          <w:tcPr>
            <w:tcW w:type="dxa" w:w="2340"/>
            <w:tcBorders>
              <w:top w:val="single" w:color="CCCCCC" w:sz="1"/>
              <w:left w:val="single" w:color="CCCCCC" w:sz="1"/>
              <w:bottom w:val="single" w:color="CCCCCC" w:sz="1"/>
              <w:right w:val="single" w:color="CCCCCC" w:sz="1"/>
            </w:tcBorders>
            <w:shd w:fill="1a1a2e" w:val="clear"/>
            <w:tcMar>
              <w:top w:type="dxa" w:w="200"/>
              <w:left w:type="dxa" w:w="200"/>
              <w:bottom w:type="dxa" w:w="200"/>
              <w:right w:type="dxa" w:w="200"/>
            </w:tcMar>
            <w:vAlign w:val="center"/>
          </w:tcPr>
          <w:p>
            <w:pPr>
              <w:jc w:val="center"/>
            </w:pPr>
            <w:r>
              <w:rPr>
                <w:rFonts w:ascii="Arial" w:cs="Arial" w:eastAsia="Arial" w:hAnsi="Arial"/>
                <w:b/>
                <w:bCs/>
                <w:color w:val="C8922A"/>
                <w:sz w:val="48"/>
                <w:szCs w:val="48"/>
              </w:rPr>
              <w:t xml:space="preserve">50+</w:t>
            </w:r>
          </w:p>
          <w:p>
            <w:pPr>
              <w:jc w:val="center"/>
            </w:pPr>
            <w:r>
              <w:rPr>
                <w:rFonts w:ascii="Arial" w:cs="Arial" w:eastAsia="Arial" w:hAnsi="Arial"/>
                <w:color w:val="FFFFFF"/>
                <w:sz w:val="16"/>
                <w:szCs w:val="16"/>
              </w:rPr>
              <w:t xml:space="preserve">SPECIALISTS</w:t>
            </w:r>
          </w:p>
        </w:tc>
        <w:tc>
          <w:tcPr>
            <w:tcW w:type="dxa" w:w="2340"/>
            <w:tcBorders>
              <w:top w:val="single" w:color="CCCCCC" w:sz="1"/>
              <w:left w:val="single" w:color="CCCCCC" w:sz="1"/>
              <w:bottom w:val="single" w:color="CCCCCC" w:sz="1"/>
              <w:right w:val="single" w:color="CCCCCC" w:sz="1"/>
            </w:tcBorders>
            <w:shd w:fill="1a1a2e" w:val="clear"/>
            <w:tcMar>
              <w:top w:type="dxa" w:w="200"/>
              <w:left w:type="dxa" w:w="200"/>
              <w:bottom w:type="dxa" w:w="200"/>
              <w:right w:type="dxa" w:w="200"/>
            </w:tcMar>
            <w:vAlign w:val="center"/>
          </w:tcPr>
          <w:p>
            <w:pPr>
              <w:jc w:val="center"/>
            </w:pPr>
            <w:r>
              <w:rPr>
                <w:rFonts w:ascii="Arial" w:cs="Arial" w:eastAsia="Arial" w:hAnsi="Arial"/>
                <w:b/>
                <w:bCs/>
                <w:color w:val="C8922A"/>
                <w:sz w:val="48"/>
                <w:szCs w:val="48"/>
              </w:rPr>
              <w:t xml:space="preserve">3</w:t>
            </w:r>
          </w:p>
          <w:p>
            <w:pPr>
              <w:jc w:val="center"/>
            </w:pPr>
            <w:r>
              <w:rPr>
                <w:rFonts w:ascii="Arial" w:cs="Arial" w:eastAsia="Arial" w:hAnsi="Arial"/>
                <w:color w:val="FFFFFF"/>
                <w:sz w:val="16"/>
                <w:szCs w:val="16"/>
              </w:rPr>
              <w:t xml:space="preserve">UK OFFICES</w:t>
            </w:r>
          </w:p>
        </w:tc>
        <w:tc>
          <w:tcPr>
            <w:tcW w:type="dxa" w:w="2340"/>
            <w:tcBorders>
              <w:top w:val="single" w:color="CCCCCC" w:sz="1"/>
              <w:left w:val="single" w:color="CCCCCC" w:sz="1"/>
              <w:bottom w:val="single" w:color="CCCCCC" w:sz="1"/>
              <w:right w:val="single" w:color="CCCCCC" w:sz="1"/>
            </w:tcBorders>
            <w:shd w:fill="1a1a2e" w:val="clear"/>
            <w:tcMar>
              <w:top w:type="dxa" w:w="200"/>
              <w:left w:type="dxa" w:w="200"/>
              <w:bottom w:type="dxa" w:w="200"/>
              <w:right w:type="dxa" w:w="200"/>
            </w:tcMar>
            <w:vAlign w:val="center"/>
          </w:tcPr>
          <w:p>
            <w:pPr>
              <w:jc w:val="center"/>
            </w:pPr>
            <w:r>
              <w:rPr>
                <w:rFonts w:ascii="Arial" w:cs="Arial" w:eastAsia="Arial" w:hAnsi="Arial"/>
                <w:b/>
                <w:bCs/>
                <w:color w:val="C8922A"/>
                <w:sz w:val="48"/>
                <w:szCs w:val="48"/>
              </w:rPr>
              <w:t xml:space="preserve">£12M+</w:t>
            </w:r>
          </w:p>
          <w:p>
            <w:pPr>
              <w:jc w:val="center"/>
            </w:pPr>
            <w:r>
              <w:rPr>
                <w:rFonts w:ascii="Arial" w:cs="Arial" w:eastAsia="Arial" w:hAnsi="Arial"/>
                <w:color w:val="FFFFFF"/>
                <w:sz w:val="16"/>
                <w:szCs w:val="16"/>
              </w:rPr>
              <w:t xml:space="preserve">FRAMEWORK VALUE</w:t>
            </w:r>
          </w:p>
        </w:tc>
      </w:tr>
    </w:tbl>
    <w:p>
      <w:pPr>
        <w:spacing w:after="0" w:before="4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Borders>
              <w:top w:val="none" w:color="FFFFFF" w:sz="0"/>
              <w:left w:val="none" w:color="FFFFFF" w:sz="0"/>
              <w:bottom w:val="none" w:color="FFFFFF" w:sz="0"/>
              <w:right w:val="none" w:color="FFFFFF" w:sz="0"/>
            </w:tcBorders>
            <w:shd w:fill="F5F5F5" w:val="clear"/>
            <w:tcMar>
              <w:top w:type="dxa" w:w="240"/>
              <w:left w:type="dxa" w:w="300"/>
              <w:bottom w:type="dxa" w:w="240"/>
              <w:right w:type="dxa" w:w="300"/>
            </w:tcMar>
          </w:tcPr>
          <w:p>
            <w:pPr>
              <w:spacing w:after="80"/>
            </w:pPr>
            <w:r>
              <w:rPr>
                <w:rFonts w:ascii="Arial" w:cs="Arial" w:eastAsia="Arial" w:hAnsi="Arial"/>
                <w:b/>
                <w:bCs/>
                <w:color w:val="C8922A"/>
                <w:sz w:val="18"/>
                <w:szCs w:val="18"/>
              </w:rPr>
              <w:t xml:space="preserve">GET IN TOUCH</w:t>
            </w:r>
          </w:p>
          <w:p>
            <w:pPr>
              <w:spacing w:after="60"/>
            </w:pPr>
            <w:r>
              <w:rPr>
                <w:rFonts w:ascii="Arial" w:cs="Arial" w:eastAsia="Arial" w:hAnsi="Arial"/>
                <w:b/>
                <w:bCs/>
                <w:color w:val="1a1a2e"/>
                <w:sz w:val="20"/>
                <w:szCs w:val="20"/>
              </w:rPr>
              <w:t xml:space="preserve">T: </w:t>
            </w:r>
            <w:r>
              <w:rPr>
                <w:rFonts w:ascii="Arial" w:cs="Arial" w:eastAsia="Arial" w:hAnsi="Arial"/>
                <w:color w:val="1a1a2e"/>
                <w:sz w:val="20"/>
                <w:szCs w:val="20"/>
              </w:rPr>
              <w:t xml:space="preserve">01946 448123   </w:t>
            </w:r>
            <w:r>
              <w:rPr>
                <w:rFonts w:ascii="Arial" w:cs="Arial" w:eastAsia="Arial" w:hAnsi="Arial"/>
                <w:b/>
                <w:bCs/>
                <w:color w:val="1a1a2e"/>
                <w:sz w:val="20"/>
                <w:szCs w:val="20"/>
              </w:rPr>
              <w:t xml:space="preserve">E: </w:t>
            </w:r>
            <w:r>
              <w:rPr>
                <w:rFonts w:ascii="Arial" w:cs="Arial" w:eastAsia="Arial" w:hAnsi="Arial"/>
                <w:color w:val="1a1a2e"/>
                <w:sz w:val="20"/>
                <w:szCs w:val="20"/>
              </w:rPr>
              <w:t xml:space="preserve">info@williamkingconstruction.co.uk   </w:t>
            </w:r>
            <w:r>
              <w:rPr>
                <w:rFonts w:ascii="Arial" w:cs="Arial" w:eastAsia="Arial" w:hAnsi="Arial"/>
                <w:b/>
                <w:bCs/>
                <w:color w:val="1a1a2e"/>
                <w:sz w:val="20"/>
                <w:szCs w:val="20"/>
              </w:rPr>
              <w:t xml:space="preserve">W: </w:t>
            </w:r>
            <w:r>
              <w:rPr>
                <w:rFonts w:ascii="Arial" w:cs="Arial" w:eastAsia="Arial" w:hAnsi="Arial"/>
                <w:color w:val="1a1a2e"/>
                <w:sz w:val="20"/>
                <w:szCs w:val="20"/>
              </w:rPr>
              <w:t xml:space="preserve">williamkingconstruction.co.uk</w:t>
            </w:r>
          </w:p>
          <w:p>
            <w:r>
              <w:rPr>
                <w:rFonts w:ascii="Arial" w:cs="Arial" w:eastAsia="Arial" w:hAnsi="Arial"/>
                <w:color w:val="666666"/>
                <w:sz w:val="20"/>
                <w:szCs w:val="20"/>
              </w:rPr>
              <w:t xml:space="preserve">Moor Row, CA24 3JZ   |   Seascale, CA20 1FB   |   London, W1W 5PF</w:t>
            </w:r>
          </w:p>
        </w:tc>
      </w:tr>
    </w:tbl>
    <w:p>
      <w:r>
        <w:br w:type="page"/>
      </w:r>
    </w:p>
    <w:p>
      <w:pPr>
        <w:spacing w:after="80" w:before="300"/>
      </w:pPr>
      <w:r>
        <w:rPr>
          <w:rFonts w:ascii="Arial" w:cs="Arial" w:eastAsia="Arial" w:hAnsi="Arial"/>
          <w:b/>
          <w:bCs/>
          <w:color w:val="C8922A"/>
          <w:sz w:val="18"/>
          <w:szCs w:val="18"/>
        </w:rPr>
        <w:t xml:space="preserve">ABOUT US</w:t>
      </w:r>
    </w:p>
    <w:p>
      <w:pPr>
        <w:spacing w:after="200" w:before="200"/>
      </w:pPr>
      <w:r>
        <w:rPr>
          <w:rFonts w:ascii="Arial" w:cs="Arial" w:eastAsia="Arial" w:hAnsi="Arial"/>
          <w:b/>
          <w:bCs/>
          <w:color w:val="1a1a2e"/>
          <w:sz w:val="40"/>
          <w:szCs w:val="40"/>
        </w:rPr>
        <w:t xml:space="preserve">Built on Craft</w:t>
      </w:r>
    </w:p>
    <w:p>
      <w:pPr>
        <w:spacing w:after="200"/>
      </w:pPr>
      <w:r>
        <w:rPr>
          <w:rFonts w:ascii="Arial" w:cs="Arial" w:eastAsia="Arial" w:hAnsi="Arial"/>
          <w:b/>
          <w:bCs/>
          <w:color w:val="C8922A"/>
          <w:sz w:val="40"/>
          <w:szCs w:val="40"/>
        </w:rPr>
        <w:t xml:space="preserve">&amp; Character</w:t>
      </w:r>
    </w:p>
    <w:p>
      <w:pPr>
        <w:spacing w:after="160"/>
      </w:pPr>
      <w:r>
        <w:rPr>
          <w:rFonts w:ascii="Arial" w:cs="Arial" w:eastAsia="Arial" w:hAnsi="Arial"/>
          <w:color w:val="1a1a2e"/>
          <w:sz w:val="22"/>
          <w:szCs w:val="22"/>
        </w:rPr>
        <w:t xml:space="preserve">William King Construction is a family business founded in Cleator Moor, Cumbria in 2008 by William and Lisa King. William had spent years working across the UK for a wide range of developers and main contractors, and came away from that experience with a clear conviction that construction could be delivered with greater care, higher standards and a more considered approach to quality.</w:t>
      </w:r>
    </w:p>
    <w:p>
      <w:pPr>
        <w:spacing w:after="160"/>
      </w:pPr>
      <w:r>
        <w:rPr>
          <w:rFonts w:ascii="Arial" w:cs="Arial" w:eastAsia="Arial" w:hAnsi="Arial"/>
          <w:color w:val="1a1a2e"/>
          <w:sz w:val="22"/>
          <w:szCs w:val="22"/>
        </w:rPr>
        <w:t xml:space="preserve">From the very beginning, Lisa brought the structure and rigour the business needed to grow on solid foundations, stepping away from a successful career in retail management to establish the operational and financial backbone of the company.</w:t>
      </w:r>
    </w:p>
    <w:p>
      <w:pPr>
        <w:spacing w:after="160"/>
      </w:pPr>
      <w:r>
        <w:rPr>
          <w:rFonts w:ascii="Arial" w:cs="Arial" w:eastAsia="Arial" w:hAnsi="Arial"/>
          <w:color w:val="1a1a2e"/>
          <w:sz w:val="22"/>
          <w:szCs w:val="22"/>
        </w:rPr>
        <w:t xml:space="preserve">Today we balance bespoke, quality-led construction with specialist civil, heritage and nuclear works across Cumbria and beyond. We are founder-led, locally rooted and personally invested in the outcome of every project we take on.</w:t>
      </w:r>
    </w:p>
    <w:p>
      <w:pPr>
        <w:spacing w:after="0" w:before="200"/>
      </w:pPr>
    </w:p>
    <w:p>
      <w:pPr>
        <w:pBdr>
          <w:bottom w:val="single" w:color="C8922A" w:sz="4" w:space="1"/>
        </w:pBdr>
        <w:spacing w:after="300" w:before="300"/>
      </w:pPr>
    </w:p>
    <w:p>
      <w:pPr>
        <w:spacing w:after="80" w:before="300"/>
      </w:pPr>
      <w:r>
        <w:rPr>
          <w:rFonts w:ascii="Arial" w:cs="Arial" w:eastAsia="Arial" w:hAnsi="Arial"/>
          <w:b/>
          <w:bCs/>
          <w:color w:val="C8922A"/>
          <w:sz w:val="18"/>
          <w:szCs w:val="18"/>
        </w:rPr>
        <w:t xml:space="preserve">DIRECTOR STATEMENT</w:t>
      </w:r>
    </w:p>
    <w:p>
      <w:pPr>
        <w:spacing w:after="160"/>
      </w:pPr>
      <w:r>
        <w:rPr>
          <w:rFonts w:ascii="Arial" w:cs="Arial" w:eastAsia="Arial" w:hAnsi="Arial"/>
          <w:i/>
          <w:iCs/>
          <w:color w:val="1a1a2e"/>
          <w:sz w:val="24"/>
          <w:szCs w:val="24"/>
        </w:rPr>
        <w:t xml:space="preserve">"I started this business because I believed there was a better way. Better quality, better relationships, better outcomes for the people who commission the work and the communities who live with it. Every project we take on is an opportunity to prove that belief right. That has never changed and it never will."</w:t>
      </w:r>
    </w:p>
    <w:p>
      <w:pPr>
        <w:spacing w:after="200"/>
      </w:pPr>
      <w:r>
        <w:rPr>
          <w:rFonts w:ascii="Arial" w:cs="Arial" w:eastAsia="Arial" w:hAnsi="Arial"/>
          <w:b/>
          <w:bCs/>
          <w:color w:val="1a1a2e"/>
          <w:sz w:val="22"/>
          <w:szCs w:val="22"/>
        </w:rPr>
        <w:t xml:space="preserve">William King, Director &amp; Founder</w:t>
      </w:r>
    </w:p>
    <w:p>
      <w:pPr>
        <w:pBdr>
          <w:bottom w:val="single" w:color="C8922A" w:sz="4" w:space="1"/>
        </w:pBdr>
        <w:spacing w:after="300" w:before="300"/>
      </w:pPr>
    </w:p>
    <w:p>
      <w:pPr>
        <w:spacing w:after="80" w:before="300"/>
      </w:pPr>
      <w:r>
        <w:rPr>
          <w:rFonts w:ascii="Arial" w:cs="Arial" w:eastAsia="Arial" w:hAnsi="Arial"/>
          <w:b/>
          <w:bCs/>
          <w:color w:val="C8922A"/>
          <w:sz w:val="18"/>
          <w:szCs w:val="18"/>
        </w:rPr>
        <w:t xml:space="preserve">OUR JOURNEY</w:t>
      </w:r>
    </w:p>
    <w:p>
      <w:pPr>
        <w:spacing w:after="160" w:before="240"/>
      </w:pPr>
      <w:r>
        <w:rPr>
          <w:rFonts w:ascii="Arial" w:cs="Arial" w:eastAsia="Arial" w:hAnsi="Arial"/>
          <w:b/>
          <w:bCs/>
          <w:color w:val="1a1a2e"/>
          <w:sz w:val="28"/>
          <w:szCs w:val="28"/>
        </w:rPr>
        <w:t xml:space="preserve">Eighteen Years in the Making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200"/>
        <w:gridCol w:w="8438"/>
      </w:tblGrid>
      <w:tr>
        <w:tc>
          <w:tcPr>
            <w:tcW w:type="dxa" w:w="1200"/>
            <w:tcBorders>
              <w:top w:val="single" w:color="CCCCCC" w:sz="1"/>
              <w:left w:val="single" w:color="CCCCCC" w:sz="1"/>
              <w:bottom w:val="single" w:color="CCCCCC" w:sz="1"/>
              <w:right w:val="single" w:color="CCCCCC" w:sz="1"/>
            </w:tcBorders>
            <w:shd w:fill="1a1a2e" w:val="clear"/>
            <w:tcMar>
              <w:top w:type="dxa" w:w="120"/>
              <w:left w:type="dxa" w:w="160"/>
              <w:bottom w:type="dxa" w:w="120"/>
              <w:right w:type="dxa" w:w="160"/>
            </w:tcMar>
            <w:vAlign w:val="center"/>
          </w:tcPr>
          <w:p>
            <w:pPr>
              <w:jc w:val="center"/>
            </w:pPr>
            <w:r>
              <w:rPr>
                <w:rFonts w:ascii="Arial" w:cs="Arial" w:eastAsia="Arial" w:hAnsi="Arial"/>
                <w:b/>
                <w:bCs/>
                <w:color w:val="C8922A"/>
                <w:sz w:val="20"/>
                <w:szCs w:val="20"/>
              </w:rPr>
              <w:t xml:space="preserve">2008</w:t>
            </w:r>
          </w:p>
        </w:tc>
        <w:tc>
          <w:tcPr>
            <w:tcW w:type="dxa" w:w="8438"/>
            <w:tcBorders>
              <w:top w:val="single" w:color="CCCCCC" w:sz="1"/>
              <w:left w:val="single" w:color="CCCCCC" w:sz="1"/>
              <w:bottom w:val="single" w:color="CCCCCC" w:sz="1"/>
              <w:right w:val="single" w:color="CCCCCC" w:sz="1"/>
            </w:tcBorders>
            <w:shd w:fill="F5F5F5" w:val="clear"/>
            <w:tcMar>
              <w:top w:type="dxa" w:w="120"/>
              <w:left w:type="dxa" w:w="200"/>
              <w:bottom w:type="dxa" w:w="120"/>
              <w:right w:type="dxa" w:w="160"/>
            </w:tcMar>
          </w:tcPr>
          <w:p>
            <w:r>
              <w:rPr>
                <w:rFonts w:ascii="Arial" w:cs="Arial" w:eastAsia="Arial" w:hAnsi="Arial"/>
                <w:color w:val="1a1a2e"/>
                <w:sz w:val="20"/>
                <w:szCs w:val="20"/>
              </w:rPr>
              <w:t xml:space="preserve">Founded by William and Lisa King in Cleator Moor, Cumbria, with a focus on quality residential construction.</w:t>
            </w:r>
          </w:p>
        </w:tc>
      </w:tr>
      <w:tr>
        <w:tc>
          <w:tcPr>
            <w:tcW w:type="dxa" w:w="1200"/>
            <w:tcBorders>
              <w:top w:val="single" w:color="CCCCCC" w:sz="1"/>
              <w:left w:val="single" w:color="CCCCCC" w:sz="1"/>
              <w:bottom w:val="single" w:color="CCCCCC" w:sz="1"/>
              <w:right w:val="single" w:color="CCCCCC" w:sz="1"/>
            </w:tcBorders>
            <w:shd w:fill="1a1a2e" w:val="clear"/>
            <w:tcMar>
              <w:top w:type="dxa" w:w="120"/>
              <w:left w:type="dxa" w:w="160"/>
              <w:bottom w:type="dxa" w:w="120"/>
              <w:right w:type="dxa" w:w="160"/>
            </w:tcMar>
            <w:vAlign w:val="center"/>
          </w:tcPr>
          <w:p>
            <w:pPr>
              <w:jc w:val="center"/>
            </w:pPr>
            <w:r>
              <w:rPr>
                <w:rFonts w:ascii="Arial" w:cs="Arial" w:eastAsia="Arial" w:hAnsi="Arial"/>
                <w:b/>
                <w:bCs/>
                <w:color w:val="C8922A"/>
                <w:sz w:val="20"/>
                <w:szCs w:val="20"/>
              </w:rPr>
              <w:t xml:space="preserve">2015</w:t>
            </w:r>
          </w:p>
        </w:tc>
        <w:tc>
          <w:tcPr>
            <w:tcW w:type="dxa" w:w="8438"/>
            <w:tcBorders>
              <w:top w:val="single" w:color="CCCCCC" w:sz="1"/>
              <w:left w:val="single" w:color="CCCCCC" w:sz="1"/>
              <w:bottom w:val="single" w:color="CCCCCC" w:sz="1"/>
              <w:right w:val="single" w:color="CCCCCC" w:sz="1"/>
            </w:tcBorders>
            <w:shd w:fill="F5F5F5" w:val="clear"/>
            <w:tcMar>
              <w:top w:type="dxa" w:w="120"/>
              <w:left w:type="dxa" w:w="200"/>
              <w:bottom w:type="dxa" w:w="120"/>
              <w:right w:type="dxa" w:w="160"/>
            </w:tcMar>
          </w:tcPr>
          <w:p>
            <w:r>
              <w:rPr>
                <w:rFonts w:ascii="Arial" w:cs="Arial" w:eastAsia="Arial" w:hAnsi="Arial"/>
                <w:color w:val="1a1a2e"/>
                <w:sz w:val="20"/>
                <w:szCs w:val="20"/>
              </w:rPr>
              <w:t xml:space="preserve">LABC Regional Award winner for Best Individual New Home — Lily Hall, Ennerdale Bridge.</w:t>
            </w:r>
          </w:p>
        </w:tc>
      </w:tr>
      <w:tr>
        <w:tc>
          <w:tcPr>
            <w:tcW w:type="dxa" w:w="1200"/>
            <w:tcBorders>
              <w:top w:val="single" w:color="CCCCCC" w:sz="1"/>
              <w:left w:val="single" w:color="CCCCCC" w:sz="1"/>
              <w:bottom w:val="single" w:color="CCCCCC" w:sz="1"/>
              <w:right w:val="single" w:color="CCCCCC" w:sz="1"/>
            </w:tcBorders>
            <w:shd w:fill="1a1a2e" w:val="clear"/>
            <w:tcMar>
              <w:top w:type="dxa" w:w="120"/>
              <w:left w:type="dxa" w:w="160"/>
              <w:bottom w:type="dxa" w:w="120"/>
              <w:right w:type="dxa" w:w="160"/>
            </w:tcMar>
            <w:vAlign w:val="center"/>
          </w:tcPr>
          <w:p>
            <w:pPr>
              <w:jc w:val="center"/>
            </w:pPr>
            <w:r>
              <w:rPr>
                <w:rFonts w:ascii="Arial" w:cs="Arial" w:eastAsia="Arial" w:hAnsi="Arial"/>
                <w:b/>
                <w:bCs/>
                <w:color w:val="C8922A"/>
                <w:sz w:val="20"/>
                <w:szCs w:val="20"/>
              </w:rPr>
              <w:t xml:space="preserve">2017</w:t>
            </w:r>
          </w:p>
        </w:tc>
        <w:tc>
          <w:tcPr>
            <w:tcW w:type="dxa" w:w="8438"/>
            <w:tcBorders>
              <w:top w:val="single" w:color="CCCCCC" w:sz="1"/>
              <w:left w:val="single" w:color="CCCCCC" w:sz="1"/>
              <w:bottom w:val="single" w:color="CCCCCC" w:sz="1"/>
              <w:right w:val="single" w:color="CCCCCC" w:sz="1"/>
            </w:tcBorders>
            <w:shd w:fill="F5F5F5" w:val="clear"/>
            <w:tcMar>
              <w:top w:type="dxa" w:w="120"/>
              <w:left w:type="dxa" w:w="200"/>
              <w:bottom w:type="dxa" w:w="120"/>
              <w:right w:type="dxa" w:w="160"/>
            </w:tcMar>
          </w:tcPr>
          <w:p>
            <w:r>
              <w:rPr>
                <w:rFonts w:ascii="Arial" w:cs="Arial" w:eastAsia="Arial" w:hAnsi="Arial"/>
                <w:color w:val="1a1a2e"/>
                <w:sz w:val="20"/>
                <w:szCs w:val="20"/>
              </w:rPr>
              <w:t xml:space="preserve">Second LABC Regional Award for Best Individual New Home — One Acre, Seascale.</w:t>
            </w:r>
          </w:p>
        </w:tc>
      </w:tr>
      <w:tr>
        <w:tc>
          <w:tcPr>
            <w:tcW w:type="dxa" w:w="1200"/>
            <w:tcBorders>
              <w:top w:val="single" w:color="CCCCCC" w:sz="1"/>
              <w:left w:val="single" w:color="CCCCCC" w:sz="1"/>
              <w:bottom w:val="single" w:color="CCCCCC" w:sz="1"/>
              <w:right w:val="single" w:color="CCCCCC" w:sz="1"/>
            </w:tcBorders>
            <w:shd w:fill="1a1a2e" w:val="clear"/>
            <w:tcMar>
              <w:top w:type="dxa" w:w="120"/>
              <w:left w:type="dxa" w:w="160"/>
              <w:bottom w:type="dxa" w:w="120"/>
              <w:right w:type="dxa" w:w="160"/>
            </w:tcMar>
            <w:vAlign w:val="center"/>
          </w:tcPr>
          <w:p>
            <w:pPr>
              <w:jc w:val="center"/>
            </w:pPr>
            <w:r>
              <w:rPr>
                <w:rFonts w:ascii="Arial" w:cs="Arial" w:eastAsia="Arial" w:hAnsi="Arial"/>
                <w:b/>
                <w:bCs/>
                <w:color w:val="C8922A"/>
                <w:sz w:val="20"/>
                <w:szCs w:val="20"/>
              </w:rPr>
              <w:t xml:space="preserve">2019</w:t>
            </w:r>
          </w:p>
        </w:tc>
        <w:tc>
          <w:tcPr>
            <w:tcW w:type="dxa" w:w="8438"/>
            <w:tcBorders>
              <w:top w:val="single" w:color="CCCCCC" w:sz="1"/>
              <w:left w:val="single" w:color="CCCCCC" w:sz="1"/>
              <w:bottom w:val="single" w:color="CCCCCC" w:sz="1"/>
              <w:right w:val="single" w:color="CCCCCC" w:sz="1"/>
            </w:tcBorders>
            <w:shd w:fill="F5F5F5" w:val="clear"/>
            <w:tcMar>
              <w:top w:type="dxa" w:w="120"/>
              <w:left w:type="dxa" w:w="200"/>
              <w:bottom w:type="dxa" w:w="120"/>
              <w:right w:type="dxa" w:w="160"/>
            </w:tcMar>
          </w:tcPr>
          <w:p>
            <w:r>
              <w:rPr>
                <w:rFonts w:ascii="Arial" w:cs="Arial" w:eastAsia="Arial" w:hAnsi="Arial"/>
                <w:color w:val="1a1a2e"/>
                <w:sz w:val="20"/>
                <w:szCs w:val="20"/>
              </w:rPr>
              <w:t xml:space="preserve">Delivery of the Bepps+Diff masonry package at Sellafield, one of Europe's most complex construction projects.</w:t>
            </w:r>
          </w:p>
        </w:tc>
      </w:tr>
      <w:tr>
        <w:tc>
          <w:tcPr>
            <w:tcW w:type="dxa" w:w="1200"/>
            <w:tcBorders>
              <w:top w:val="single" w:color="CCCCCC" w:sz="1"/>
              <w:left w:val="single" w:color="CCCCCC" w:sz="1"/>
              <w:bottom w:val="single" w:color="CCCCCC" w:sz="1"/>
              <w:right w:val="single" w:color="CCCCCC" w:sz="1"/>
            </w:tcBorders>
            <w:shd w:fill="1a1a2e" w:val="clear"/>
            <w:tcMar>
              <w:top w:type="dxa" w:w="120"/>
              <w:left w:type="dxa" w:w="160"/>
              <w:bottom w:type="dxa" w:w="120"/>
              <w:right w:type="dxa" w:w="160"/>
            </w:tcMar>
            <w:vAlign w:val="center"/>
          </w:tcPr>
          <w:p>
            <w:pPr>
              <w:jc w:val="center"/>
            </w:pPr>
            <w:r>
              <w:rPr>
                <w:rFonts w:ascii="Arial" w:cs="Arial" w:eastAsia="Arial" w:hAnsi="Arial"/>
                <w:b/>
                <w:bCs/>
                <w:color w:val="C8922A"/>
                <w:sz w:val="20"/>
                <w:szCs w:val="20"/>
              </w:rPr>
              <w:t xml:space="preserve">2021</w:t>
            </w:r>
          </w:p>
        </w:tc>
        <w:tc>
          <w:tcPr>
            <w:tcW w:type="dxa" w:w="8438"/>
            <w:tcBorders>
              <w:top w:val="single" w:color="CCCCCC" w:sz="1"/>
              <w:left w:val="single" w:color="CCCCCC" w:sz="1"/>
              <w:bottom w:val="single" w:color="CCCCCC" w:sz="1"/>
              <w:right w:val="single" w:color="CCCCCC" w:sz="1"/>
            </w:tcBorders>
            <w:shd w:fill="F5F5F5" w:val="clear"/>
            <w:tcMar>
              <w:top w:type="dxa" w:w="120"/>
              <w:left w:type="dxa" w:w="200"/>
              <w:bottom w:type="dxa" w:w="120"/>
              <w:right w:type="dxa" w:w="160"/>
            </w:tcMar>
          </w:tcPr>
          <w:p>
            <w:r>
              <w:rPr>
                <w:rFonts w:ascii="Arial" w:cs="Arial" w:eastAsia="Arial" w:hAnsi="Arial"/>
                <w:color w:val="1a1a2e"/>
                <w:sz w:val="20"/>
                <w:szCs w:val="20"/>
              </w:rPr>
              <w:t xml:space="preserve">Appointed to the Cumberland Council Capital Works Framework.</w:t>
            </w:r>
          </w:p>
        </w:tc>
      </w:tr>
      <w:tr>
        <w:tc>
          <w:tcPr>
            <w:tcW w:type="dxa" w:w="1200"/>
            <w:tcBorders>
              <w:top w:val="single" w:color="CCCCCC" w:sz="1"/>
              <w:left w:val="single" w:color="CCCCCC" w:sz="1"/>
              <w:bottom w:val="single" w:color="CCCCCC" w:sz="1"/>
              <w:right w:val="single" w:color="CCCCCC" w:sz="1"/>
            </w:tcBorders>
            <w:shd w:fill="1a1a2e" w:val="clear"/>
            <w:tcMar>
              <w:top w:type="dxa" w:w="120"/>
              <w:left w:type="dxa" w:w="160"/>
              <w:bottom w:type="dxa" w:w="120"/>
              <w:right w:type="dxa" w:w="160"/>
            </w:tcMar>
            <w:vAlign w:val="center"/>
          </w:tcPr>
          <w:p>
            <w:pPr>
              <w:jc w:val="center"/>
            </w:pPr>
            <w:r>
              <w:rPr>
                <w:rFonts w:ascii="Arial" w:cs="Arial" w:eastAsia="Arial" w:hAnsi="Arial"/>
                <w:b/>
                <w:bCs/>
                <w:color w:val="C8922A"/>
                <w:sz w:val="20"/>
                <w:szCs w:val="20"/>
              </w:rPr>
              <w:t xml:space="preserve">2023</w:t>
            </w:r>
          </w:p>
        </w:tc>
        <w:tc>
          <w:tcPr>
            <w:tcW w:type="dxa" w:w="8438"/>
            <w:tcBorders>
              <w:top w:val="single" w:color="CCCCCC" w:sz="1"/>
              <w:left w:val="single" w:color="CCCCCC" w:sz="1"/>
              <w:bottom w:val="single" w:color="CCCCCC" w:sz="1"/>
              <w:right w:val="single" w:color="CCCCCC" w:sz="1"/>
            </w:tcBorders>
            <w:shd w:fill="F5F5F5" w:val="clear"/>
            <w:tcMar>
              <w:top w:type="dxa" w:w="120"/>
              <w:left w:type="dxa" w:w="200"/>
              <w:bottom w:type="dxa" w:w="120"/>
              <w:right w:type="dxa" w:w="160"/>
            </w:tcMar>
          </w:tcPr>
          <w:p>
            <w:r>
              <w:rPr>
                <w:rFonts w:ascii="Arial" w:cs="Arial" w:eastAsia="Arial" w:hAnsi="Arial"/>
                <w:color w:val="1a1a2e"/>
                <w:sz w:val="20"/>
                <w:szCs w:val="20"/>
              </w:rPr>
              <w:t xml:space="preserve">Sellafield Programme and Project Partner status secured.</w:t>
            </w:r>
          </w:p>
        </w:tc>
      </w:tr>
      <w:tr>
        <w:tc>
          <w:tcPr>
            <w:tcW w:type="dxa" w:w="1200"/>
            <w:tcBorders>
              <w:top w:val="single" w:color="CCCCCC" w:sz="1"/>
              <w:left w:val="single" w:color="CCCCCC" w:sz="1"/>
              <w:bottom w:val="single" w:color="CCCCCC" w:sz="1"/>
              <w:right w:val="single" w:color="CCCCCC" w:sz="1"/>
            </w:tcBorders>
            <w:shd w:fill="1a1a2e" w:val="clear"/>
            <w:tcMar>
              <w:top w:type="dxa" w:w="120"/>
              <w:left w:type="dxa" w:w="160"/>
              <w:bottom w:type="dxa" w:w="120"/>
              <w:right w:type="dxa" w:w="160"/>
            </w:tcMar>
            <w:vAlign w:val="center"/>
          </w:tcPr>
          <w:p>
            <w:pPr>
              <w:jc w:val="center"/>
            </w:pPr>
            <w:r>
              <w:rPr>
                <w:rFonts w:ascii="Arial" w:cs="Arial" w:eastAsia="Arial" w:hAnsi="Arial"/>
                <w:b/>
                <w:bCs/>
                <w:color w:val="C8922A"/>
                <w:sz w:val="20"/>
                <w:szCs w:val="20"/>
              </w:rPr>
              <w:t xml:space="preserve">2025</w:t>
            </w:r>
          </w:p>
        </w:tc>
        <w:tc>
          <w:tcPr>
            <w:tcW w:type="dxa" w:w="8438"/>
            <w:tcBorders>
              <w:top w:val="single" w:color="CCCCCC" w:sz="1"/>
              <w:left w:val="single" w:color="CCCCCC" w:sz="1"/>
              <w:bottom w:val="single" w:color="CCCCCC" w:sz="1"/>
              <w:right w:val="single" w:color="CCCCCC" w:sz="1"/>
            </w:tcBorders>
            <w:shd w:fill="F5F5F5" w:val="clear"/>
            <w:tcMar>
              <w:top w:type="dxa" w:w="120"/>
              <w:left w:type="dxa" w:w="200"/>
              <w:bottom w:type="dxa" w:w="120"/>
              <w:right w:type="dxa" w:w="160"/>
            </w:tcMar>
          </w:tcPr>
          <w:p>
            <w:r>
              <w:rPr>
                <w:rFonts w:ascii="Arial" w:cs="Arial" w:eastAsia="Arial" w:hAnsi="Arial"/>
                <w:color w:val="1a1a2e"/>
                <w:sz w:val="20"/>
                <w:szCs w:val="20"/>
              </w:rPr>
              <w:t xml:space="preserve">Completion of Whitehaven News Building renovation and Threlkeld Quarry and Mining Museum projects.</w:t>
            </w:r>
          </w:p>
        </w:tc>
      </w:tr>
    </w:tbl>
    <w:p>
      <w:r>
        <w:br w:type="page"/>
      </w:r>
    </w:p>
    <w:p>
      <w:pPr>
        <w:spacing w:after="80" w:before="300"/>
      </w:pPr>
      <w:r>
        <w:rPr>
          <w:rFonts w:ascii="Arial" w:cs="Arial" w:eastAsia="Arial" w:hAnsi="Arial"/>
          <w:b/>
          <w:bCs/>
          <w:color w:val="C8922A"/>
          <w:sz w:val="18"/>
          <w:szCs w:val="18"/>
        </w:rPr>
        <w:t xml:space="preserve">OUR SERVICES</w:t>
      </w:r>
    </w:p>
    <w:p>
      <w:pPr>
        <w:spacing w:after="200" w:before="200"/>
      </w:pPr>
      <w:r>
        <w:rPr>
          <w:rFonts w:ascii="Arial" w:cs="Arial" w:eastAsia="Arial" w:hAnsi="Arial"/>
          <w:b/>
          <w:bCs/>
          <w:color w:val="1a1a2e"/>
          <w:sz w:val="40"/>
          <w:szCs w:val="40"/>
        </w:rPr>
        <w:t xml:space="preserve">What We Deliver</w:t>
      </w:r>
    </w:p>
    <w:p>
      <w:pPr>
        <w:spacing w:after="160"/>
      </w:pPr>
      <w:r>
        <w:rPr>
          <w:rFonts w:ascii="Arial" w:cs="Arial" w:eastAsia="Arial" w:hAnsi="Arial"/>
          <w:color w:val="1a1a2e"/>
          <w:sz w:val="22"/>
          <w:szCs w:val="22"/>
        </w:rPr>
        <w:t xml:space="preserve">Our capability spans six core service areas, each staffed by experienced, in-house operatives with a proven track record across commercial, nuclear, heritage and residential projects throughout the UK.</w:t>
      </w:r>
    </w:p>
    <w:p>
      <w:pPr>
        <w:spacing w:after="0" w:before="2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769"/>
        <w:gridCol w:w="4769"/>
      </w:tblGrid>
      <w:tr>
        <w:tc>
          <w:tcPr>
            <w:tcW w:type="dxa" w:w="451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80"/>
            </w:pPr>
            <w:r>
              <w:rPr>
                <w:rFonts w:ascii="Arial" w:cs="Arial" w:eastAsia="Arial" w:hAnsi="Arial"/>
                <w:b/>
                <w:bCs/>
                <w:color w:val="C8922A"/>
                <w:sz w:val="20"/>
                <w:szCs w:val="20"/>
              </w:rPr>
              <w:t xml:space="preserve">NUCLEAR &amp; CIVIL CONTRACTING</w:t>
            </w:r>
          </w:p>
          <w:p>
            <w:r>
              <w:rPr>
                <w:rFonts w:ascii="Arial" w:cs="Arial" w:eastAsia="Arial" w:hAnsi="Arial"/>
                <w:color w:val="FFFFFF"/>
                <w:sz w:val="20"/>
                <w:szCs w:val="20"/>
              </w:rPr>
              <w:t xml:space="preserve">Security-cleared construction and civil engineering works across Cumbria's nuclear industry. Sellafield PPP approved supplier with 15+ years nuclear experience.</w:t>
            </w:r>
          </w:p>
        </w:tc>
        <w:tc>
          <w:tcPr>
            <w:tcW w:type="dxa" w:w="451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80"/>
            </w:pPr>
            <w:r>
              <w:rPr>
                <w:rFonts w:ascii="Arial" w:cs="Arial" w:eastAsia="Arial" w:hAnsi="Arial"/>
                <w:b/>
                <w:bCs/>
                <w:color w:val="C8922A"/>
                <w:sz w:val="20"/>
                <w:szCs w:val="20"/>
              </w:rPr>
              <w:t xml:space="preserve">HERITAGE RESTORATION</w:t>
            </w:r>
          </w:p>
          <w:p>
            <w:r>
              <w:rPr>
                <w:rFonts w:ascii="Arial" w:cs="Arial" w:eastAsia="Arial" w:hAnsi="Arial"/>
                <w:color w:val="FFFFFF"/>
                <w:sz w:val="20"/>
                <w:szCs w:val="20"/>
              </w:rPr>
              <w:t xml:space="preserve">Listed building restoration, traditional lime plastering, sash window restoration, heritage masonry and stonework. NFB Heritage Group member.</w:t>
            </w:r>
          </w:p>
        </w:tc>
      </w:tr>
      <w:tr>
        <w:tc>
          <w:tcPr>
            <w:tcW w:type="dxa" w:w="451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tcPr>
          <w:p>
            <w:pPr>
              <w:spacing w:after="80"/>
            </w:pPr>
            <w:r>
              <w:rPr>
                <w:rFonts w:ascii="Arial" w:cs="Arial" w:eastAsia="Arial" w:hAnsi="Arial"/>
                <w:b/>
                <w:bCs/>
                <w:color w:val="C8922A"/>
                <w:sz w:val="20"/>
                <w:szCs w:val="20"/>
              </w:rPr>
              <w:t xml:space="preserve">CIVIL &amp; COMMERCIAL CONSTRUCTION</w:t>
            </w:r>
          </w:p>
          <w:p>
            <w:r>
              <w:rPr>
                <w:rFonts w:ascii="Arial" w:cs="Arial" w:eastAsia="Arial" w:hAnsi="Arial"/>
                <w:color w:val="1a1a2e"/>
                <w:sz w:val="20"/>
                <w:szCs w:val="20"/>
              </w:rPr>
              <w:t xml:space="preserve">Structural masonry, groundworks, plastering, joinery, painting and passive fire protection across commercial and industrial environments.</w:t>
            </w:r>
          </w:p>
        </w:tc>
        <w:tc>
          <w:tcPr>
            <w:tcW w:type="dxa" w:w="451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tcPr>
          <w:p>
            <w:pPr>
              <w:spacing w:after="80"/>
            </w:pPr>
            <w:r>
              <w:rPr>
                <w:rFonts w:ascii="Arial" w:cs="Arial" w:eastAsia="Arial" w:hAnsi="Arial"/>
                <w:b/>
                <w:bCs/>
                <w:color w:val="C8922A"/>
                <w:sz w:val="20"/>
                <w:szCs w:val="20"/>
              </w:rPr>
              <w:t xml:space="preserve">NEW BUILDS &amp; DOMESTIC IMPROVEMENTS</w:t>
            </w:r>
          </w:p>
          <w:p>
            <w:r>
              <w:rPr>
                <w:rFonts w:ascii="Arial" w:cs="Arial" w:eastAsia="Arial" w:hAnsi="Arial"/>
                <w:color w:val="1a1a2e"/>
                <w:sz w:val="20"/>
                <w:szCs w:val="20"/>
              </w:rPr>
              <w:t xml:space="preserve">Award-winning bespoke new builds, extensions, alterations and domestic improvements. Two LABC Regional Award wins for Best Individual New Home.</w:t>
            </w:r>
          </w:p>
        </w:tc>
      </w:tr>
      <w:tr>
        <w:tc>
          <w:tcPr>
            <w:tcW w:type="dxa" w:w="451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80"/>
            </w:pPr>
            <w:r>
              <w:rPr>
                <w:rFonts w:ascii="Arial" w:cs="Arial" w:eastAsia="Arial" w:hAnsi="Arial"/>
                <w:b/>
                <w:bCs/>
                <w:color w:val="C8922A"/>
                <w:sz w:val="20"/>
                <w:szCs w:val="20"/>
              </w:rPr>
              <w:t xml:space="preserve">COMMERCIAL FLOORING</w:t>
            </w:r>
          </w:p>
          <w:p>
            <w:r>
              <w:rPr>
                <w:rFonts w:ascii="Arial" w:cs="Arial" w:eastAsia="Arial" w:hAnsi="Arial"/>
                <w:color w:val="FFFFFF"/>
                <w:sz w:val="20"/>
                <w:szCs w:val="20"/>
              </w:rPr>
              <w:t xml:space="preserve">Safety flooring, retail and office flooring, and specialist installations across commercial and nuclear environments including the Sellafield site.</w:t>
            </w:r>
          </w:p>
        </w:tc>
        <w:tc>
          <w:tcPr>
            <w:tcW w:type="dxa" w:w="451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80"/>
            </w:pPr>
            <w:r>
              <w:rPr>
                <w:rFonts w:ascii="Arial" w:cs="Arial" w:eastAsia="Arial" w:hAnsi="Arial"/>
                <w:b/>
                <w:bCs/>
                <w:color w:val="C8922A"/>
                <w:sz w:val="20"/>
                <w:szCs w:val="20"/>
              </w:rPr>
              <w:t xml:space="preserve">CONTRACTS &amp; FRAMEWORKS</w:t>
            </w:r>
          </w:p>
          <w:p>
            <w:r>
              <w:rPr>
                <w:rFonts w:ascii="Arial" w:cs="Arial" w:eastAsia="Arial" w:hAnsi="Arial"/>
                <w:color w:val="FFFFFF"/>
                <w:sz w:val="20"/>
                <w:szCs w:val="20"/>
              </w:rPr>
              <w:t xml:space="preserve">Long-term framework delivery for public sector and nuclear clients including Cumberland Council Capital Works Framework and Sellafield PPP.</w:t>
            </w:r>
          </w:p>
        </w:tc>
      </w:tr>
    </w:tbl>
    <w:p>
      <w:pPr>
        <w:spacing w:after="0" w:before="300"/>
      </w:pPr>
    </w:p>
    <w:p>
      <w:pPr>
        <w:pBdr>
          <w:bottom w:val="single" w:color="C8922A" w:sz="4" w:space="1"/>
        </w:pBdr>
        <w:spacing w:after="300" w:before="300"/>
      </w:pPr>
    </w:p>
    <w:p>
      <w:pPr>
        <w:spacing w:after="80" w:before="300"/>
      </w:pPr>
      <w:r>
        <w:rPr>
          <w:rFonts w:ascii="Arial" w:cs="Arial" w:eastAsia="Arial" w:hAnsi="Arial"/>
          <w:b/>
          <w:bCs/>
          <w:color w:val="C8922A"/>
          <w:sz w:val="18"/>
          <w:szCs w:val="18"/>
        </w:rPr>
        <w:t xml:space="preserve">TRADE CAPABILITIES</w:t>
      </w:r>
    </w:p>
    <w:p>
      <w:pPr>
        <w:spacing w:after="160" w:before="240"/>
      </w:pPr>
      <w:r>
        <w:rPr>
          <w:rFonts w:ascii="Arial" w:cs="Arial" w:eastAsia="Arial" w:hAnsi="Arial"/>
          <w:b/>
          <w:bCs/>
          <w:color w:val="1a1a2e"/>
          <w:sz w:val="28"/>
          <w:szCs w:val="28"/>
        </w:rPr>
        <w:t xml:space="preserve">In House Trades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c>
          <w:tcPr>
            <w:tcW w:type="dxa" w:w="3212"/>
            <w:tcBorders>
              <w:top w:val="none" w:color="FFFFFF" w:sz="0"/>
              <w:left w:val="none" w:color="FFFFFF" w:sz="0"/>
              <w:bottom w:val="none" w:color="FFFFFF" w:sz="0"/>
              <w:right w:val="none" w:color="FFFFFF" w:sz="0"/>
            </w:tcBorders>
            <w:tcMar>
              <w:top w:type="dxa" w:w="80"/>
              <w:left w:type="dxa" w:w="0"/>
              <w:bottom w:type="dxa" w:w="80"/>
              <w:right w:type="dxa" w:w="100"/>
            </w:tcMar>
          </w:tcPr>
          <w:p>
            <w:pPr>
              <w:pStyle w:val="ListParagraph"/>
              <w:numPr>
                <w:ilvl w:val="0"/>
                <w:numId w:val="2"/>
              </w:numPr>
              <w:spacing w:after="100"/>
            </w:pPr>
            <w:r>
              <w:rPr>
                <w:rFonts w:ascii="Arial" w:cs="Arial" w:eastAsia="Arial" w:hAnsi="Arial"/>
                <w:color w:val="1a1a2e"/>
                <w:sz w:val="22"/>
                <w:szCs w:val="22"/>
              </w:rPr>
              <w:t xml:space="preserve">Structural Masonry &amp; Brickwork</w:t>
            </w:r>
          </w:p>
          <w:p>
            <w:pPr>
              <w:pStyle w:val="ListParagraph"/>
              <w:numPr>
                <w:ilvl w:val="0"/>
                <w:numId w:val="2"/>
              </w:numPr>
              <w:spacing w:after="100"/>
            </w:pPr>
            <w:r>
              <w:rPr>
                <w:rFonts w:ascii="Arial" w:cs="Arial" w:eastAsia="Arial" w:hAnsi="Arial"/>
                <w:color w:val="1a1a2e"/>
                <w:sz w:val="22"/>
                <w:szCs w:val="22"/>
              </w:rPr>
              <w:t xml:space="preserve">Heritage Masonry &amp; Stonework</w:t>
            </w:r>
          </w:p>
          <w:p>
            <w:pPr>
              <w:pStyle w:val="ListParagraph"/>
              <w:numPr>
                <w:ilvl w:val="0"/>
                <w:numId w:val="2"/>
              </w:numPr>
              <w:spacing w:after="100"/>
            </w:pPr>
            <w:r>
              <w:rPr>
                <w:rFonts w:ascii="Arial" w:cs="Arial" w:eastAsia="Arial" w:hAnsi="Arial"/>
                <w:color w:val="1a1a2e"/>
                <w:sz w:val="22"/>
                <w:szCs w:val="22"/>
              </w:rPr>
              <w:t xml:space="preserve">Traditional Lime Plastering</w:t>
            </w:r>
          </w:p>
          <w:p>
            <w:pPr>
              <w:pStyle w:val="ListParagraph"/>
              <w:numPr>
                <w:ilvl w:val="0"/>
                <w:numId w:val="2"/>
              </w:numPr>
              <w:spacing w:after="100"/>
            </w:pPr>
            <w:r>
              <w:rPr>
                <w:rFonts w:ascii="Arial" w:cs="Arial" w:eastAsia="Arial" w:hAnsi="Arial"/>
                <w:color w:val="1a1a2e"/>
                <w:sz w:val="22"/>
                <w:szCs w:val="22"/>
              </w:rPr>
              <w:t xml:space="preserve">Modern Render Systems</w:t>
            </w:r>
          </w:p>
          <w:p>
            <w:pPr>
              <w:pStyle w:val="ListParagraph"/>
              <w:numPr>
                <w:ilvl w:val="0"/>
                <w:numId w:val="2"/>
              </w:numPr>
              <w:spacing w:after="100"/>
            </w:pPr>
            <w:r>
              <w:rPr>
                <w:rFonts w:ascii="Arial" w:cs="Arial" w:eastAsia="Arial" w:hAnsi="Arial"/>
                <w:color w:val="1a1a2e"/>
                <w:sz w:val="22"/>
                <w:szCs w:val="22"/>
              </w:rPr>
              <w:t xml:space="preserve">Dry Lining &amp; Plastering</w:t>
            </w:r>
          </w:p>
        </w:tc>
        <w:tc>
          <w:tcPr>
            <w:tcW w:type="dxa" w:w="3212"/>
            <w:tcBorders>
              <w:top w:val="none" w:color="FFFFFF" w:sz="0"/>
              <w:left w:val="none" w:color="FFFFFF" w:sz="0"/>
              <w:bottom w:val="none" w:color="FFFFFF" w:sz="0"/>
              <w:right w:val="none" w:color="FFFFFF" w:sz="0"/>
            </w:tcBorders>
            <w:tcMar>
              <w:top w:type="dxa" w:w="80"/>
              <w:left w:type="dxa" w:w="100"/>
              <w:bottom w:type="dxa" w:w="80"/>
              <w:right w:type="dxa" w:w="100"/>
            </w:tcMar>
          </w:tcPr>
          <w:p>
            <w:pPr>
              <w:pStyle w:val="ListParagraph"/>
              <w:numPr>
                <w:ilvl w:val="0"/>
                <w:numId w:val="2"/>
              </w:numPr>
              <w:spacing w:after="100"/>
            </w:pPr>
            <w:r>
              <w:rPr>
                <w:rFonts w:ascii="Arial" w:cs="Arial" w:eastAsia="Arial" w:hAnsi="Arial"/>
                <w:color w:val="1a1a2e"/>
                <w:sz w:val="22"/>
                <w:szCs w:val="22"/>
              </w:rPr>
              <w:t xml:space="preserve">Carpentry &amp; Joinery</w:t>
            </w:r>
          </w:p>
          <w:p>
            <w:pPr>
              <w:pStyle w:val="ListParagraph"/>
              <w:numPr>
                <w:ilvl w:val="0"/>
                <w:numId w:val="2"/>
              </w:numPr>
              <w:spacing w:after="100"/>
            </w:pPr>
            <w:r>
              <w:rPr>
                <w:rFonts w:ascii="Arial" w:cs="Arial" w:eastAsia="Arial" w:hAnsi="Arial"/>
                <w:color w:val="1a1a2e"/>
                <w:sz w:val="22"/>
                <w:szCs w:val="22"/>
              </w:rPr>
              <w:t xml:space="preserve">Sash Window Restoration</w:t>
            </w:r>
          </w:p>
          <w:p>
            <w:pPr>
              <w:pStyle w:val="ListParagraph"/>
              <w:numPr>
                <w:ilvl w:val="0"/>
                <w:numId w:val="2"/>
              </w:numPr>
              <w:spacing w:after="100"/>
            </w:pPr>
            <w:r>
              <w:rPr>
                <w:rFonts w:ascii="Arial" w:cs="Arial" w:eastAsia="Arial" w:hAnsi="Arial"/>
                <w:color w:val="1a1a2e"/>
                <w:sz w:val="22"/>
                <w:szCs w:val="22"/>
              </w:rPr>
              <w:t xml:space="preserve">Groundworks &amp; Drainage</w:t>
            </w:r>
          </w:p>
          <w:p>
            <w:pPr>
              <w:pStyle w:val="ListParagraph"/>
              <w:numPr>
                <w:ilvl w:val="0"/>
                <w:numId w:val="2"/>
              </w:numPr>
              <w:spacing w:after="100"/>
            </w:pPr>
            <w:r>
              <w:rPr>
                <w:rFonts w:ascii="Arial" w:cs="Arial" w:eastAsia="Arial" w:hAnsi="Arial"/>
                <w:color w:val="1a1a2e"/>
                <w:sz w:val="22"/>
                <w:szCs w:val="22"/>
              </w:rPr>
              <w:t xml:space="preserve">Concrete Works &amp; Foundations</w:t>
            </w:r>
          </w:p>
          <w:p>
            <w:pPr>
              <w:pStyle w:val="ListParagraph"/>
              <w:numPr>
                <w:ilvl w:val="0"/>
                <w:numId w:val="2"/>
              </w:numPr>
              <w:spacing w:after="100"/>
            </w:pPr>
            <w:r>
              <w:rPr>
                <w:rFonts w:ascii="Arial" w:cs="Arial" w:eastAsia="Arial" w:hAnsi="Arial"/>
                <w:color w:val="1a1a2e"/>
                <w:sz w:val="22"/>
                <w:szCs w:val="22"/>
              </w:rPr>
              <w:t xml:space="preserve">Painting &amp; Decorating</w:t>
            </w:r>
          </w:p>
        </w:tc>
        <w:tc>
          <w:tcPr>
            <w:tcW w:type="dxa" w:w="3214"/>
            <w:tcBorders>
              <w:top w:val="none" w:color="FFFFFF" w:sz="0"/>
              <w:left w:val="none" w:color="FFFFFF" w:sz="0"/>
              <w:bottom w:val="none" w:color="FFFFFF" w:sz="0"/>
              <w:right w:val="none" w:color="FFFFFF" w:sz="0"/>
            </w:tcBorders>
            <w:tcMar>
              <w:top w:type="dxa" w:w="80"/>
              <w:left w:type="dxa" w:w="100"/>
              <w:bottom w:type="dxa" w:w="80"/>
              <w:right w:type="dxa" w:w="0"/>
            </w:tcMar>
          </w:tcPr>
          <w:p>
            <w:pPr>
              <w:pStyle w:val="ListParagraph"/>
              <w:numPr>
                <w:ilvl w:val="0"/>
                <w:numId w:val="2"/>
              </w:numPr>
              <w:spacing w:after="100"/>
            </w:pPr>
            <w:r>
              <w:rPr>
                <w:rFonts w:ascii="Arial" w:cs="Arial" w:eastAsia="Arial" w:hAnsi="Arial"/>
                <w:color w:val="1a1a2e"/>
                <w:sz w:val="22"/>
                <w:szCs w:val="22"/>
              </w:rPr>
              <w:t xml:space="preserve">Passive Fire Protection</w:t>
            </w:r>
          </w:p>
          <w:p>
            <w:pPr>
              <w:pStyle w:val="ListParagraph"/>
              <w:numPr>
                <w:ilvl w:val="0"/>
                <w:numId w:val="2"/>
              </w:numPr>
              <w:spacing w:after="100"/>
            </w:pPr>
            <w:r>
              <w:rPr>
                <w:rFonts w:ascii="Arial" w:cs="Arial" w:eastAsia="Arial" w:hAnsi="Arial"/>
                <w:color w:val="1a1a2e"/>
                <w:sz w:val="22"/>
                <w:szCs w:val="22"/>
              </w:rPr>
              <w:t xml:space="preserve">Commercial Flooring</w:t>
            </w:r>
          </w:p>
          <w:p>
            <w:pPr>
              <w:pStyle w:val="ListParagraph"/>
              <w:numPr>
                <w:ilvl w:val="0"/>
                <w:numId w:val="2"/>
              </w:numPr>
              <w:spacing w:after="100"/>
            </w:pPr>
            <w:r>
              <w:rPr>
                <w:rFonts w:ascii="Arial" w:cs="Arial" w:eastAsia="Arial" w:hAnsi="Arial"/>
                <w:color w:val="1a1a2e"/>
                <w:sz w:val="22"/>
                <w:szCs w:val="22"/>
              </w:rPr>
              <w:t xml:space="preserve">Safety Flooring Installation</w:t>
            </w:r>
          </w:p>
          <w:p>
            <w:pPr>
              <w:pStyle w:val="ListParagraph"/>
              <w:numPr>
                <w:ilvl w:val="0"/>
                <w:numId w:val="2"/>
              </w:numPr>
              <w:spacing w:after="100"/>
            </w:pPr>
            <w:r>
              <w:rPr>
                <w:rFonts w:ascii="Arial" w:cs="Arial" w:eastAsia="Arial" w:hAnsi="Arial"/>
                <w:color w:val="1a1a2e"/>
                <w:sz w:val="22"/>
                <w:szCs w:val="22"/>
              </w:rPr>
              <w:t xml:space="preserve">M&amp;E Coordination</w:t>
            </w:r>
          </w:p>
          <w:p>
            <w:pPr>
              <w:pStyle w:val="ListParagraph"/>
              <w:numPr>
                <w:ilvl w:val="0"/>
                <w:numId w:val="2"/>
              </w:numPr>
              <w:spacing w:after="100"/>
            </w:pPr>
            <w:r>
              <w:rPr>
                <w:rFonts w:ascii="Arial" w:cs="Arial" w:eastAsia="Arial" w:hAnsi="Arial"/>
                <w:color w:val="1a1a2e"/>
                <w:sz w:val="22"/>
                <w:szCs w:val="22"/>
              </w:rPr>
              <w:t xml:space="preserve">Landscaping &amp; Paving</w:t>
            </w:r>
          </w:p>
        </w:tc>
      </w:tr>
    </w:tbl>
    <w:p>
      <w:r>
        <w:br w:type="page"/>
      </w:r>
    </w:p>
    <w:p>
      <w:pPr>
        <w:spacing w:after="80" w:before="300"/>
      </w:pPr>
      <w:r>
        <w:rPr>
          <w:rFonts w:ascii="Arial" w:cs="Arial" w:eastAsia="Arial" w:hAnsi="Arial"/>
          <w:b/>
          <w:bCs/>
          <w:color w:val="C8922A"/>
          <w:sz w:val="18"/>
          <w:szCs w:val="18"/>
        </w:rPr>
        <w:t xml:space="preserve">NUCLEAR CAPABILITY</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Borders>
              <w:top w:val="none" w:color="FFFFFF" w:sz="0"/>
              <w:left w:val="none" w:color="FFFFFF" w:sz="0"/>
              <w:bottom w:val="none" w:color="FFFFFF" w:sz="0"/>
              <w:right w:val="none" w:color="FFFFFF" w:sz="0"/>
            </w:tcBorders>
            <w:shd w:fill="1a1a2e" w:val="clear"/>
            <w:tcMar>
              <w:top w:type="dxa" w:w="300"/>
              <w:left w:type="dxa" w:w="400"/>
              <w:bottom w:type="dxa" w:w="300"/>
              <w:right w:type="dxa" w:w="400"/>
            </w:tcMar>
          </w:tcPr>
          <w:p>
            <w:pPr>
              <w:spacing w:after="160"/>
            </w:pPr>
            <w:r>
              <w:rPr>
                <w:rFonts w:ascii="Arial" w:cs="Arial" w:eastAsia="Arial" w:hAnsi="Arial"/>
                <w:b/>
                <w:bCs/>
                <w:color w:val="FFFFFF"/>
                <w:sz w:val="32"/>
                <w:szCs w:val="32"/>
              </w:rPr>
              <w:t xml:space="preserve">DELIVERING AT SELLAFIELD</w:t>
            </w:r>
          </w:p>
          <w:p>
            <w:pPr>
              <w:spacing w:after="200"/>
            </w:pPr>
            <w:r>
              <w:rPr>
                <w:rFonts w:ascii="Arial" w:cs="Arial" w:eastAsia="Arial" w:hAnsi="Arial"/>
                <w:color w:val="C8922A"/>
                <w:sz w:val="20"/>
                <w:szCs w:val="20"/>
              </w:rPr>
              <w:t xml:space="preserve">15+ Years Nuclear Experience   |   100% Security Cleared Personnel   |   Sellafield PPP Approved Supplier</w:t>
            </w:r>
          </w:p>
          <w:p>
            <w:pPr>
              <w:spacing w:after="160"/>
            </w:pPr>
            <w:r>
              <w:rPr>
                <w:rFonts w:ascii="Arial" w:cs="Arial" w:eastAsia="Arial" w:hAnsi="Arial"/>
                <w:color w:val="FFFFFF"/>
                <w:sz w:val="21"/>
                <w:szCs w:val="21"/>
              </w:rPr>
              <w:t xml:space="preserve">William King Construction has been operating within Cumbria's nuclear sector for over 15 years. We understand the rigorous demands of working within a licensed nuclear site, the compliance requirements, the security protocols and the documentation standards that life-critical environments demand.</w:t>
            </w:r>
          </w:p>
          <w:p>
            <w:pPr>
              <w:spacing w:after="200"/>
            </w:pPr>
            <w:r>
              <w:rPr>
                <w:rFonts w:ascii="Arial" w:cs="Arial" w:eastAsia="Arial" w:hAnsi="Arial"/>
                <w:color w:val="FFFFFF"/>
                <w:sz w:val="21"/>
                <w:szCs w:val="21"/>
              </w:rPr>
              <w:t xml:space="preserve">As a Sellafield Programme and Project Partner approved supplier, we operate within the approved supply chain, supporting main contractors and the wider NDA supply chain on technically demanding scopes where reliability and compliance are non-negotiable.</w:t>
            </w:r>
          </w:p>
          <w:p>
            <w:pPr>
              <w:spacing w:after="80"/>
            </w:pPr>
            <w:r>
              <w:rPr>
                <w:rFonts w:ascii="Arial" w:cs="Arial" w:eastAsia="Arial" w:hAnsi="Arial"/>
                <w:b/>
                <w:bCs/>
                <w:color w:val="C8922A"/>
                <w:sz w:val="18"/>
                <w:szCs w:val="18"/>
              </w:rPr>
              <w:t xml:space="preserve">NUCLEAR PROJECTS DELIVERED</w:t>
            </w:r>
          </w:p>
          <w:p>
            <w:pPr>
              <w:pStyle w:val="ListParagraph"/>
              <w:numPr>
                <w:ilvl w:val="0"/>
                <w:numId w:val="3"/>
              </w:numPr>
              <w:spacing w:after="100"/>
            </w:pPr>
            <w:r>
              <w:rPr>
                <w:rFonts w:ascii="Arial" w:cs="Arial" w:eastAsia="Arial" w:hAnsi="Arial"/>
                <w:color w:val="FFFFFF"/>
                <w:sz w:val="22"/>
                <w:szCs w:val="22"/>
              </w:rPr>
              <w:t xml:space="preserve">BEPPS+DIFF — Box Encapsulation Plant Product Store Direct Import Facility</w:t>
            </w:r>
          </w:p>
          <w:p>
            <w:pPr>
              <w:pStyle w:val="ListParagraph"/>
              <w:numPr>
                <w:ilvl w:val="0"/>
                <w:numId w:val="3"/>
              </w:numPr>
              <w:spacing w:after="100"/>
            </w:pPr>
            <w:r>
              <w:rPr>
                <w:rFonts w:ascii="Arial" w:cs="Arial" w:eastAsia="Arial" w:hAnsi="Arial"/>
                <w:color w:val="FFFFFF"/>
                <w:sz w:val="22"/>
                <w:szCs w:val="22"/>
              </w:rPr>
              <w:t xml:space="preserve">BEP — Box Encapsulation Plant</w:t>
            </w:r>
          </w:p>
          <w:p>
            <w:pPr>
              <w:pStyle w:val="ListParagraph"/>
              <w:numPr>
                <w:ilvl w:val="0"/>
                <w:numId w:val="3"/>
              </w:numPr>
              <w:spacing w:after="100"/>
            </w:pPr>
            <w:r>
              <w:rPr>
                <w:rFonts w:ascii="Arial" w:cs="Arial" w:eastAsia="Arial" w:hAnsi="Arial"/>
                <w:color w:val="FFFFFF"/>
                <w:sz w:val="22"/>
                <w:szCs w:val="22"/>
              </w:rPr>
              <w:t xml:space="preserve">SCP — SIXEP Continuity Plant</w:t>
            </w:r>
          </w:p>
          <w:p>
            <w:pPr>
              <w:pStyle w:val="ListParagraph"/>
              <w:numPr>
                <w:ilvl w:val="0"/>
                <w:numId w:val="3"/>
              </w:numPr>
              <w:spacing w:after="100"/>
            </w:pPr>
            <w:r>
              <w:rPr>
                <w:rFonts w:ascii="Arial" w:cs="Arial" w:eastAsia="Arial" w:hAnsi="Arial"/>
                <w:color w:val="FFFFFF"/>
                <w:sz w:val="22"/>
                <w:szCs w:val="22"/>
              </w:rPr>
              <w:t xml:space="preserve">CNC — Civil Nuclear Constabulary Facility</w:t>
            </w:r>
          </w:p>
          <w:p>
            <w:pPr>
              <w:pStyle w:val="ListParagraph"/>
              <w:numPr>
                <w:ilvl w:val="0"/>
                <w:numId w:val="3"/>
              </w:numPr>
              <w:spacing w:after="100"/>
            </w:pPr>
            <w:r>
              <w:rPr>
                <w:rFonts w:ascii="Arial" w:cs="Arial" w:eastAsia="Arial" w:hAnsi="Arial"/>
                <w:color w:val="FFFFFF"/>
                <w:sz w:val="22"/>
                <w:szCs w:val="22"/>
              </w:rPr>
              <w:t xml:space="preserve">SRP — Sellafield Product &amp; Residue Store Retreatment Plant</w:t>
            </w:r>
          </w:p>
          <w:p>
            <w:pPr>
              <w:pStyle w:val="ListParagraph"/>
              <w:numPr>
                <w:ilvl w:val="0"/>
                <w:numId w:val="3"/>
              </w:numPr>
              <w:spacing w:after="100"/>
            </w:pPr>
            <w:r>
              <w:rPr>
                <w:rFonts w:ascii="Arial" w:cs="Arial" w:eastAsia="Arial" w:hAnsi="Arial"/>
                <w:color w:val="FFFFFF"/>
                <w:sz w:val="22"/>
                <w:szCs w:val="22"/>
              </w:rPr>
              <w:t xml:space="preserve">Security Infrastructure Upgrade Programme</w:t>
            </w:r>
          </w:p>
          <w:p>
            <w:pPr>
              <w:pStyle w:val="ListParagraph"/>
              <w:numPr>
                <w:ilvl w:val="0"/>
                <w:numId w:val="3"/>
              </w:numPr>
              <w:spacing w:after="100"/>
            </w:pPr>
            <w:r>
              <w:rPr>
                <w:rFonts w:ascii="Arial" w:cs="Arial" w:eastAsia="Arial" w:hAnsi="Arial"/>
                <w:color w:val="FFFFFF"/>
                <w:sz w:val="22"/>
                <w:szCs w:val="22"/>
              </w:rPr>
              <w:t xml:space="preserve">Fire Stopping &amp; Passive Fire Protection Framework</w:t>
            </w:r>
          </w:p>
          <w:p>
            <w:pPr>
              <w:pStyle w:val="ListParagraph"/>
              <w:numPr>
                <w:ilvl w:val="0"/>
                <w:numId w:val="3"/>
              </w:numPr>
              <w:spacing w:after="100"/>
            </w:pPr>
            <w:r>
              <w:rPr>
                <w:rFonts w:ascii="Arial" w:cs="Arial" w:eastAsia="Arial" w:hAnsi="Arial"/>
                <w:color w:val="FFFFFF"/>
                <w:sz w:val="22"/>
                <w:szCs w:val="22"/>
              </w:rPr>
              <w:t xml:space="preserve">Planned Maintenance Framework — structural, fabric and civil works</w:t>
            </w:r>
          </w:p>
        </w:tc>
      </w:tr>
    </w:tbl>
    <w:p>
      <w:pPr>
        <w:spacing w:after="0" w:before="300"/>
      </w:pPr>
    </w:p>
    <w:p>
      <w:pPr>
        <w:spacing w:after="80" w:before="300"/>
      </w:pPr>
      <w:r>
        <w:rPr>
          <w:rFonts w:ascii="Arial" w:cs="Arial" w:eastAsia="Arial" w:hAnsi="Arial"/>
          <w:b/>
          <w:bCs/>
          <w:color w:val="C8922A"/>
          <w:sz w:val="18"/>
          <w:szCs w:val="18"/>
        </w:rPr>
        <w:t xml:space="preserve">TRACK RECORD</w:t>
      </w:r>
    </w:p>
    <w:p>
      <w:pPr>
        <w:spacing w:after="160" w:before="240"/>
      </w:pPr>
      <w:r>
        <w:rPr>
          <w:rFonts w:ascii="Arial" w:cs="Arial" w:eastAsia="Arial" w:hAnsi="Arial"/>
          <w:b/>
          <w:bCs/>
          <w:color w:val="1a1a2e"/>
          <w:sz w:val="28"/>
          <w:szCs w:val="28"/>
        </w:rPr>
        <w:t xml:space="preserve">Selected Projects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3"/>
        <w:gridCol w:w="3213"/>
      </w:tblGrid>
      <w:tr>
        <w:tc>
          <w:tcPr>
            <w:tcW w:type="dxa" w:w="300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60"/>
            </w:pPr>
            <w:r>
              <w:rPr>
                <w:rFonts w:ascii="Arial" w:cs="Arial" w:eastAsia="Arial" w:hAnsi="Arial"/>
                <w:color w:val="C8922A"/>
                <w:sz w:val="16"/>
                <w:szCs w:val="16"/>
              </w:rPr>
              <w:t xml:space="preserve">HERITAGE / LISTED BUILDING</w:t>
            </w:r>
          </w:p>
          <w:p>
            <w:pPr>
              <w:spacing w:after="80"/>
            </w:pPr>
            <w:r>
              <w:rPr>
                <w:rFonts w:ascii="Arial" w:cs="Arial" w:eastAsia="Arial" w:hAnsi="Arial"/>
                <w:b/>
                <w:bCs/>
                <w:color w:val="FFFFFF"/>
                <w:sz w:val="20"/>
                <w:szCs w:val="20"/>
              </w:rPr>
              <w:t xml:space="preserve">Grindal House Renovation</w:t>
            </w:r>
          </w:p>
          <w:p>
            <w:r>
              <w:rPr>
                <w:rFonts w:ascii="Arial" w:cs="Arial" w:eastAsia="Arial" w:hAnsi="Arial"/>
                <w:color w:val="FFFFFF"/>
                <w:sz w:val="18"/>
                <w:szCs w:val="18"/>
              </w:rPr>
              <w:t xml:space="preserve">Grade II listed conversion to luxury 20-bedroom aparthotel. 46 sash windows restored. 20m pile foundations. St Bees, Cumbria.</w:t>
            </w:r>
          </w:p>
        </w:tc>
        <w:tc>
          <w:tcPr>
            <w:tcW w:type="dxa" w:w="300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60"/>
            </w:pPr>
            <w:r>
              <w:rPr>
                <w:rFonts w:ascii="Arial" w:cs="Arial" w:eastAsia="Arial" w:hAnsi="Arial"/>
                <w:color w:val="C8922A"/>
                <w:sz w:val="16"/>
                <w:szCs w:val="16"/>
              </w:rPr>
              <w:t xml:space="preserve">NUCLEAR / SELLAFIELD</w:t>
            </w:r>
          </w:p>
          <w:p>
            <w:pPr>
              <w:spacing w:after="80"/>
            </w:pPr>
            <w:r>
              <w:rPr>
                <w:rFonts w:ascii="Arial" w:cs="Arial" w:eastAsia="Arial" w:hAnsi="Arial"/>
                <w:b/>
                <w:bCs/>
                <w:color w:val="FFFFFF"/>
                <w:sz w:val="20"/>
                <w:szCs w:val="20"/>
              </w:rPr>
              <w:t xml:space="preserve">Bepps+Diff Masonry Package</w:t>
            </w:r>
          </w:p>
          <w:p>
            <w:r>
              <w:rPr>
                <w:rFonts w:ascii="Arial" w:cs="Arial" w:eastAsia="Arial" w:hAnsi="Arial"/>
                <w:color w:val="FFFFFF"/>
                <w:sz w:val="18"/>
                <w:szCs w:val="18"/>
              </w:rPr>
              <w:t xml:space="preserve">Complete structural masonry package on one of Europe's most complex nuclear construction projects. Delivered on programme 2019.</w:t>
            </w:r>
          </w:p>
        </w:tc>
        <w:tc>
          <w:tcPr>
            <w:tcW w:type="dxa" w:w="300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60"/>
            </w:pPr>
            <w:r>
              <w:rPr>
                <w:rFonts w:ascii="Arial" w:cs="Arial" w:eastAsia="Arial" w:hAnsi="Arial"/>
                <w:color w:val="C8922A"/>
                <w:sz w:val="16"/>
                <w:szCs w:val="16"/>
              </w:rPr>
              <w:t xml:space="preserve">HERITAGE / CIVIC</w:t>
            </w:r>
          </w:p>
          <w:p>
            <w:pPr>
              <w:spacing w:after="80"/>
            </w:pPr>
            <w:r>
              <w:rPr>
                <w:rFonts w:ascii="Arial" w:cs="Arial" w:eastAsia="Arial" w:hAnsi="Arial"/>
                <w:b/>
                <w:bCs/>
                <w:color w:val="FFFFFF"/>
                <w:sz w:val="20"/>
                <w:szCs w:val="20"/>
              </w:rPr>
              <w:t xml:space="preserve">Whitehaven News Building</w:t>
            </w:r>
          </w:p>
          <w:p>
            <w:r>
              <w:rPr>
                <w:rFonts w:ascii="Arial" w:cs="Arial" w:eastAsia="Arial" w:hAnsi="Arial"/>
                <w:color w:val="FFFFFF"/>
                <w:sz w:val="18"/>
                <w:szCs w:val="18"/>
              </w:rPr>
              <w:t xml:space="preserve">Historic newspaper building transformed into community and civic space for Whitehaven Town Council. 100% locally sourced labour.</w:t>
            </w:r>
          </w:p>
        </w:tc>
      </w:tr>
      <w:tr>
        <w:tc>
          <w:tcPr>
            <w:tcW w:type="dxa" w:w="300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60"/>
            </w:pPr>
            <w:r>
              <w:rPr>
                <w:rFonts w:ascii="Arial" w:cs="Arial" w:eastAsia="Arial" w:hAnsi="Arial"/>
                <w:color w:val="C8922A"/>
                <w:sz w:val="16"/>
                <w:szCs w:val="16"/>
              </w:rPr>
              <w:t xml:space="preserve">COMMERCIAL / RETAIL</w:t>
            </w:r>
          </w:p>
          <w:p>
            <w:pPr>
              <w:spacing w:after="80"/>
            </w:pPr>
            <w:r>
              <w:rPr>
                <w:rFonts w:ascii="Arial" w:cs="Arial" w:eastAsia="Arial" w:hAnsi="Arial"/>
                <w:b/>
                <w:bCs/>
                <w:color w:val="FFFFFF"/>
                <w:sz w:val="20"/>
                <w:szCs w:val="20"/>
              </w:rPr>
              <w:t xml:space="preserve">Starbucks Cockermouth</w:t>
            </w:r>
          </w:p>
          <w:p>
            <w:r>
              <w:rPr>
                <w:rFonts w:ascii="Arial" w:cs="Arial" w:eastAsia="Arial" w:hAnsi="Arial"/>
                <w:color w:val="FFFFFF"/>
                <w:sz w:val="18"/>
                <w:szCs w:val="18"/>
              </w:rPr>
              <w:t xml:space="preserve">Time-critical external masonry package for Euro Garages. New Starbucks Coffee unit delivered on programme to national rollout deadline.</w:t>
            </w:r>
          </w:p>
        </w:tc>
        <w:tc>
          <w:tcPr>
            <w:tcW w:type="dxa" w:w="300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60"/>
            </w:pPr>
            <w:r>
              <w:rPr>
                <w:rFonts w:ascii="Arial" w:cs="Arial" w:eastAsia="Arial" w:hAnsi="Arial"/>
                <w:color w:val="C8922A"/>
                <w:sz w:val="16"/>
                <w:szCs w:val="16"/>
              </w:rPr>
              <w:t xml:space="preserve">HERITAGE / COMMUNITY</w:t>
            </w:r>
          </w:p>
          <w:p>
            <w:pPr>
              <w:spacing w:after="80"/>
            </w:pPr>
            <w:r>
              <w:rPr>
                <w:rFonts w:ascii="Arial" w:cs="Arial" w:eastAsia="Arial" w:hAnsi="Arial"/>
                <w:b/>
                <w:bCs/>
                <w:color w:val="FFFFFF"/>
                <w:sz w:val="20"/>
                <w:szCs w:val="20"/>
              </w:rPr>
              <w:t xml:space="preserve">Threlkeld Quarry Museum</w:t>
            </w:r>
          </w:p>
          <w:p>
            <w:r>
              <w:rPr>
                <w:rFonts w:ascii="Arial" w:cs="Arial" w:eastAsia="Arial" w:hAnsi="Arial"/>
                <w:color w:val="FFFFFF"/>
                <w:sz w:val="18"/>
                <w:szCs w:val="18"/>
              </w:rPr>
              <w:t xml:space="preserve">New museum building at one of Cumbria's most loved heritage sites. Grant-funded project delivered for Threlkeld Quarry &amp; Mining Museum Trust.</w:t>
            </w:r>
          </w:p>
        </w:tc>
        <w:tc>
          <w:tcPr>
            <w:tcW w:type="dxa" w:w="3000"/>
            <w:tcBorders>
              <w:top w:val="single" w:color="CCCCCC" w:sz="1"/>
              <w:left w:val="single" w:color="CCCCCC" w:sz="1"/>
              <w:bottom w:val="single" w:color="CCCCCC" w:sz="1"/>
              <w:right w:val="single" w:color="CCCCCC" w:sz="1"/>
            </w:tcBorders>
            <w:shd w:fill="1a1a2e" w:val="clear"/>
            <w:tcMar>
              <w:top w:type="dxa" w:w="160"/>
              <w:left w:type="dxa" w:w="200"/>
              <w:bottom w:type="dxa" w:w="160"/>
              <w:right w:type="dxa" w:w="200"/>
            </w:tcMar>
          </w:tcPr>
          <w:p>
            <w:pPr>
              <w:spacing w:after="60"/>
            </w:pPr>
            <w:r>
              <w:rPr>
                <w:rFonts w:ascii="Arial" w:cs="Arial" w:eastAsia="Arial" w:hAnsi="Arial"/>
                <w:color w:val="C8922A"/>
                <w:sz w:val="16"/>
                <w:szCs w:val="16"/>
              </w:rPr>
              <w:t xml:space="preserve">COMMERCIAL / CIVILS</w:t>
            </w:r>
          </w:p>
          <w:p>
            <w:pPr>
              <w:spacing w:after="80"/>
            </w:pPr>
            <w:r>
              <w:rPr>
                <w:rFonts w:ascii="Arial" w:cs="Arial" w:eastAsia="Arial" w:hAnsi="Arial"/>
                <w:b/>
                <w:bCs/>
                <w:color w:val="FFFFFF"/>
                <w:sz w:val="20"/>
                <w:szCs w:val="20"/>
              </w:rPr>
              <w:t xml:space="preserve">Brook Inn Affordable Housing</w:t>
            </w:r>
          </w:p>
          <w:p>
            <w:r>
              <w:rPr>
                <w:rFonts w:ascii="Arial" w:cs="Arial" w:eastAsia="Arial" w:hAnsi="Arial"/>
                <w:color w:val="FFFFFF"/>
                <w:sz w:val="18"/>
                <w:szCs w:val="18"/>
              </w:rPr>
              <w:t xml:space="preserve">Conversion of a Victorian public house into three high-quality affordable homes for local families, delivered on time and within budget.</w:t>
            </w:r>
          </w:p>
        </w:tc>
      </w:tr>
    </w:tbl>
    <w:p>
      <w:r>
        <w:br w:type="page"/>
      </w:r>
    </w:p>
    <w:p>
      <w:pPr>
        <w:spacing w:after="80" w:before="300"/>
      </w:pPr>
      <w:r>
        <w:rPr>
          <w:rFonts w:ascii="Arial" w:cs="Arial" w:eastAsia="Arial" w:hAnsi="Arial"/>
          <w:b/>
          <w:bCs/>
          <w:color w:val="C8922A"/>
          <w:sz w:val="18"/>
          <w:szCs w:val="18"/>
        </w:rPr>
        <w:t xml:space="preserve">FRAMEWORKS &amp; CONTRACTS</w:t>
      </w:r>
    </w:p>
    <w:p>
      <w:pPr>
        <w:spacing w:after="200" w:before="200"/>
      </w:pPr>
      <w:r>
        <w:rPr>
          <w:rFonts w:ascii="Arial" w:cs="Arial" w:eastAsia="Arial" w:hAnsi="Arial"/>
          <w:b/>
          <w:bCs/>
          <w:color w:val="1a1a2e"/>
          <w:sz w:val="40"/>
          <w:szCs w:val="40"/>
        </w:rPr>
        <w:t xml:space="preserve">A Track Record</w:t>
      </w:r>
    </w:p>
    <w:p>
      <w:pPr>
        <w:spacing w:after="200"/>
      </w:pPr>
      <w:r>
        <w:rPr>
          <w:rFonts w:ascii="Arial" w:cs="Arial" w:eastAsia="Arial" w:hAnsi="Arial"/>
          <w:b/>
          <w:bCs/>
          <w:color w:val="C8922A"/>
          <w:sz w:val="40"/>
          <w:szCs w:val="40"/>
        </w:rPr>
        <w:t xml:space="preserve">You Can Build On</w:t>
      </w:r>
    </w:p>
    <w:p>
      <w:pPr>
        <w:spacing w:after="160"/>
      </w:pPr>
      <w:r>
        <w:rPr>
          <w:rFonts w:ascii="Arial" w:cs="Arial" w:eastAsia="Arial" w:hAnsi="Arial"/>
          <w:color w:val="1a1a2e"/>
          <w:sz w:val="22"/>
          <w:szCs w:val="22"/>
        </w:rPr>
        <w:t xml:space="preserve">Every framework and long-term contract we hold today is the direct result of performing well on the work that came before it. We do not win contracts and then hand them over to a team that has never met the client. We embed ourselves, build the relationships and deliver consistently throughout the life of the programme.</w:t>
      </w:r>
    </w:p>
    <w:p>
      <w:pPr>
        <w:spacing w:after="0" w:before="2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Borders>
              <w:top w:val="single" w:color="CCCCCC" w:sz="1"/>
              <w:left w:val="single" w:color="CCCCCC" w:sz="1"/>
              <w:bottom w:val="single" w:color="CCCCCC" w:sz="1"/>
              <w:right w:val="single" w:color="CCCCCC" w:sz="1"/>
            </w:tcBorders>
            <w:shd w:fill="F5F5F5" w:val="clear"/>
            <w:tcMar>
              <w:top w:type="dxa" w:w="200"/>
              <w:left w:type="dxa" w:w="240"/>
              <w:bottom w:type="dxa" w:w="200"/>
              <w:right w:type="dxa" w:w="240"/>
            </w:tcMar>
          </w:tcPr>
          <w:p>
            <w:pPr>
              <w:spacing w:after="60"/>
            </w:pPr>
            <w:r>
              <w:rPr>
                <w:rFonts w:ascii="Arial" w:cs="Arial" w:eastAsia="Arial" w:hAnsi="Arial"/>
                <w:b/>
                <w:bCs/>
                <w:color w:val="C8922A"/>
                <w:sz w:val="17"/>
                <w:szCs w:val="17"/>
              </w:rPr>
              <w:t xml:space="preserve">NUCLEAR / SELLAFIELD</w:t>
            </w:r>
          </w:p>
          <w:p>
            <w:pPr>
              <w:spacing w:after="80"/>
            </w:pPr>
            <w:r>
              <w:rPr>
                <w:rFonts w:ascii="Arial" w:cs="Arial" w:eastAsia="Arial" w:hAnsi="Arial"/>
                <w:b/>
                <w:bCs/>
                <w:color w:val="1a1a2e"/>
                <w:sz w:val="22"/>
                <w:szCs w:val="22"/>
              </w:rPr>
              <w:t xml:space="preserve">Sellafield PPP Groundworks &amp; Civils Framework</w:t>
            </w:r>
          </w:p>
          <w:p>
            <w:r>
              <w:rPr>
                <w:rFonts w:ascii="Arial" w:cs="Arial" w:eastAsia="Arial" w:hAnsi="Arial"/>
                <w:color w:val="1a1a2e"/>
                <w:sz w:val="20"/>
                <w:szCs w:val="20"/>
              </w:rPr>
              <w:t xml:space="preserve">Appointed by the Programme and Project Partners, securing a place on a £12 million framework supporting Sir Robert McAlpine on groundworks and concrete civils across the Sellafield site over a 16-year programme.</w:t>
            </w:r>
          </w:p>
        </w:tc>
      </w:tr>
      <w:tr>
        <w:tc>
          <w:tcPr>
            <w:tcBorders>
              <w:top w:val="single" w:color="CCCCCC" w:sz="1"/>
              <w:left w:val="single" w:color="CCCCCC" w:sz="1"/>
              <w:bottom w:val="single" w:color="CCCCCC" w:sz="1"/>
              <w:right w:val="single" w:color="CCCCCC" w:sz="1"/>
            </w:tcBorders>
            <w:shd w:fill="F5F5F5" w:val="clear"/>
            <w:tcMar>
              <w:top w:type="dxa" w:w="200"/>
              <w:left w:type="dxa" w:w="240"/>
              <w:bottom w:type="dxa" w:w="200"/>
              <w:right w:type="dxa" w:w="240"/>
            </w:tcMar>
          </w:tcPr>
          <w:p>
            <w:pPr>
              <w:spacing w:after="60"/>
            </w:pPr>
            <w:r>
              <w:rPr>
                <w:rFonts w:ascii="Arial" w:cs="Arial" w:eastAsia="Arial" w:hAnsi="Arial"/>
                <w:b/>
                <w:bCs/>
                <w:color w:val="C8922A"/>
                <w:sz w:val="17"/>
                <w:szCs w:val="17"/>
              </w:rPr>
              <w:t xml:space="preserve">NUCLEAR / SELLAFIELD</w:t>
            </w:r>
          </w:p>
          <w:p>
            <w:pPr>
              <w:spacing w:after="80"/>
            </w:pPr>
            <w:r>
              <w:rPr>
                <w:rFonts w:ascii="Arial" w:cs="Arial" w:eastAsia="Arial" w:hAnsi="Arial"/>
                <w:b/>
                <w:bCs/>
                <w:color w:val="1a1a2e"/>
                <w:sz w:val="22"/>
                <w:szCs w:val="22"/>
              </w:rPr>
              <w:t xml:space="preserve">Sellafield Product &amp; Residue Store Retreatment Plant</w:t>
            </w:r>
          </w:p>
          <w:p>
            <w:r>
              <w:rPr>
                <w:rFonts w:ascii="Arial" w:cs="Arial" w:eastAsia="Arial" w:hAnsi="Arial"/>
                <w:color w:val="1a1a2e"/>
                <w:sz w:val="20"/>
                <w:szCs w:val="20"/>
              </w:rPr>
              <w:t xml:space="preserve">Appointed to deliver works on the Sellafield Product and Residue Store Retreatment Plant project, worth approximately £4 million.</w:t>
            </w:r>
          </w:p>
        </w:tc>
      </w:tr>
      <w:tr>
        <w:tc>
          <w:tcPr>
            <w:tcBorders>
              <w:top w:val="single" w:color="CCCCCC" w:sz="1"/>
              <w:left w:val="single" w:color="CCCCCC" w:sz="1"/>
              <w:bottom w:val="single" w:color="CCCCCC" w:sz="1"/>
              <w:right w:val="single" w:color="CCCCCC" w:sz="1"/>
            </w:tcBorders>
            <w:shd w:fill="F5F5F5" w:val="clear"/>
            <w:tcMar>
              <w:top w:type="dxa" w:w="200"/>
              <w:left w:type="dxa" w:w="240"/>
              <w:bottom w:type="dxa" w:w="200"/>
              <w:right w:type="dxa" w:w="240"/>
            </w:tcMar>
          </w:tcPr>
          <w:p>
            <w:pPr>
              <w:spacing w:after="60"/>
            </w:pPr>
            <w:r>
              <w:rPr>
                <w:rFonts w:ascii="Arial" w:cs="Arial" w:eastAsia="Arial" w:hAnsi="Arial"/>
                <w:b/>
                <w:bCs/>
                <w:color w:val="C8922A"/>
                <w:sz w:val="17"/>
                <w:szCs w:val="17"/>
              </w:rPr>
              <w:t xml:space="preserve">PUBLIC SECTOR / CUMBRIA</w:t>
            </w:r>
          </w:p>
          <w:p>
            <w:pPr>
              <w:spacing w:after="80"/>
            </w:pPr>
            <w:r>
              <w:rPr>
                <w:rFonts w:ascii="Arial" w:cs="Arial" w:eastAsia="Arial" w:hAnsi="Arial"/>
                <w:b/>
                <w:bCs/>
                <w:color w:val="1a1a2e"/>
                <w:sz w:val="22"/>
                <w:szCs w:val="22"/>
              </w:rPr>
              <w:t xml:space="preserve">Cumberland Council Capital Works Framework 2025-2029</w:t>
            </w:r>
          </w:p>
          <w:p>
            <w:r>
              <w:rPr>
                <w:rFonts w:ascii="Arial" w:cs="Arial" w:eastAsia="Arial" w:hAnsi="Arial"/>
                <w:color w:val="1a1a2e"/>
                <w:sz w:val="20"/>
                <w:szCs w:val="20"/>
              </w:rPr>
              <w:t xml:space="preserve">Appointed to the Cumberland Council Capital Works Framework covering construction projects across Cumberland with individual project budgets of up to £6 million. January 2026 to December 2029.</w:t>
            </w:r>
          </w:p>
        </w:tc>
      </w:tr>
    </w:tbl>
    <w:p>
      <w:pPr>
        <w:spacing w:after="0" w:before="300"/>
      </w:pPr>
    </w:p>
    <w:p>
      <w:pPr>
        <w:pBdr>
          <w:bottom w:val="single" w:color="C8922A" w:sz="4" w:space="1"/>
        </w:pBdr>
        <w:spacing w:after="300" w:before="300"/>
      </w:pPr>
    </w:p>
    <w:p>
      <w:pPr>
        <w:spacing w:after="80" w:before="300"/>
      </w:pPr>
      <w:r>
        <w:rPr>
          <w:rFonts w:ascii="Arial" w:cs="Arial" w:eastAsia="Arial" w:hAnsi="Arial"/>
          <w:b/>
          <w:bCs/>
          <w:color w:val="C8922A"/>
          <w:sz w:val="18"/>
          <w:szCs w:val="18"/>
        </w:rPr>
        <w:t xml:space="preserve">OUR CLIENTS &amp; PARTNERS</w:t>
      </w:r>
    </w:p>
    <w:p>
      <w:pPr>
        <w:spacing w:after="160" w:before="240"/>
      </w:pPr>
      <w:r>
        <w:rPr>
          <w:rFonts w:ascii="Arial" w:cs="Arial" w:eastAsia="Arial" w:hAnsi="Arial"/>
          <w:b/>
          <w:bCs/>
          <w:color w:val="1a1a2e"/>
          <w:sz w:val="28"/>
          <w:szCs w:val="28"/>
        </w:rPr>
        <w:t xml:space="preserve">Working With the Best</w:t>
      </w:r>
    </w:p>
    <w:p>
      <w:pPr>
        <w:spacing w:after="160"/>
      </w:pPr>
      <w:r>
        <w:rPr>
          <w:rFonts w:ascii="Arial" w:cs="Arial" w:eastAsia="Arial" w:hAnsi="Arial"/>
          <w:color w:val="1a1a2e"/>
          <w:sz w:val="22"/>
          <w:szCs w:val="22"/>
        </w:rPr>
        <w:t xml:space="preserve">We are proud to work alongside some of the most respected organisations in the construction and nuclear industries.</w:t>
      </w:r>
    </w:p>
    <w:p>
      <w:pPr>
        <w:spacing w:after="0" w:before="1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c>
          <w:tcPr>
            <w:tcW w:type="dxa" w:w="2409"/>
            <w:tcBorders>
              <w:top w:val="single" w:color="CCCCCC" w:sz="1"/>
              <w:left w:val="single" w:color="CCCCCC" w:sz="1"/>
              <w:bottom w:val="single" w:color="CCCCCC" w:sz="1"/>
              <w:right w:val="single" w:color="CCCCCC" w:sz="1"/>
            </w:tcBorders>
            <w:shd w:fill="1a1a2e" w:val="clear"/>
            <w:tcMar>
              <w:top w:type="dxa" w:w="160"/>
              <w:left w:type="dxa" w:w="160"/>
              <w:bottom w:type="dxa" w:w="160"/>
              <w:right w:type="dxa" w:w="160"/>
            </w:tcMar>
            <w:vAlign w:val="center"/>
          </w:tcPr>
          <w:p>
            <w:pPr>
              <w:jc w:val="center"/>
            </w:pPr>
            <w:r>
              <w:rPr>
                <w:rFonts w:ascii="Arial" w:cs="Arial" w:eastAsia="Arial" w:hAnsi="Arial"/>
                <w:b/>
                <w:bCs/>
                <w:color w:val="FFFFFF"/>
                <w:sz w:val="20"/>
                <w:szCs w:val="20"/>
              </w:rPr>
              <w:t xml:space="preserve">Sellafield Ltd</w:t>
            </w:r>
          </w:p>
        </w:tc>
        <w:tc>
          <w:tcPr>
            <w:tcW w:type="dxa" w:w="2409"/>
            <w:tcBorders>
              <w:top w:val="single" w:color="CCCCCC" w:sz="1"/>
              <w:left w:val="single" w:color="CCCCCC" w:sz="1"/>
              <w:bottom w:val="single" w:color="CCCCCC" w:sz="1"/>
              <w:right w:val="single" w:color="CCCCCC" w:sz="1"/>
            </w:tcBorders>
            <w:shd w:fill="1a1a2e" w:val="clear"/>
            <w:tcMar>
              <w:top w:type="dxa" w:w="160"/>
              <w:left w:type="dxa" w:w="160"/>
              <w:bottom w:type="dxa" w:w="160"/>
              <w:right w:type="dxa" w:w="160"/>
            </w:tcMar>
            <w:vAlign w:val="center"/>
          </w:tcPr>
          <w:p>
            <w:pPr>
              <w:jc w:val="center"/>
            </w:pPr>
            <w:r>
              <w:rPr>
                <w:rFonts w:ascii="Arial" w:cs="Arial" w:eastAsia="Arial" w:hAnsi="Arial"/>
                <w:b/>
                <w:bCs/>
                <w:color w:val="FFFFFF"/>
                <w:sz w:val="20"/>
                <w:szCs w:val="20"/>
              </w:rPr>
              <w:t xml:space="preserve">Wood</w:t>
            </w:r>
          </w:p>
        </w:tc>
        <w:tc>
          <w:tcPr>
            <w:tcW w:type="dxa" w:w="2409"/>
            <w:tcBorders>
              <w:top w:val="single" w:color="CCCCCC" w:sz="1"/>
              <w:left w:val="single" w:color="CCCCCC" w:sz="1"/>
              <w:bottom w:val="single" w:color="CCCCCC" w:sz="1"/>
              <w:right w:val="single" w:color="CCCCCC" w:sz="1"/>
            </w:tcBorders>
            <w:shd w:fill="1a1a2e" w:val="clear"/>
            <w:tcMar>
              <w:top w:type="dxa" w:w="160"/>
              <w:left w:type="dxa" w:w="160"/>
              <w:bottom w:type="dxa" w:w="160"/>
              <w:right w:type="dxa" w:w="160"/>
            </w:tcMar>
            <w:vAlign w:val="center"/>
          </w:tcPr>
          <w:p>
            <w:pPr>
              <w:jc w:val="center"/>
            </w:pPr>
            <w:r>
              <w:rPr>
                <w:rFonts w:ascii="Arial" w:cs="Arial" w:eastAsia="Arial" w:hAnsi="Arial"/>
                <w:b/>
                <w:bCs/>
                <w:color w:val="FFFFFF"/>
                <w:sz w:val="20"/>
                <w:szCs w:val="20"/>
              </w:rPr>
              <w:t xml:space="preserve">Morgan Sindall Construction</w:t>
            </w:r>
          </w:p>
        </w:tc>
        <w:tc>
          <w:tcPr>
            <w:tcW w:type="dxa" w:w="2409"/>
            <w:tcBorders>
              <w:top w:val="single" w:color="CCCCCC" w:sz="1"/>
              <w:left w:val="single" w:color="CCCCCC" w:sz="1"/>
              <w:bottom w:val="single" w:color="CCCCCC" w:sz="1"/>
              <w:right w:val="single" w:color="CCCCCC" w:sz="1"/>
            </w:tcBorders>
            <w:shd w:fill="1a1a2e" w:val="clear"/>
            <w:tcMar>
              <w:top w:type="dxa" w:w="160"/>
              <w:left w:type="dxa" w:w="160"/>
              <w:bottom w:type="dxa" w:w="160"/>
              <w:right w:type="dxa" w:w="160"/>
            </w:tcMar>
            <w:vAlign w:val="center"/>
          </w:tcPr>
          <w:p>
            <w:pPr>
              <w:jc w:val="center"/>
            </w:pPr>
            <w:r>
              <w:rPr>
                <w:rFonts w:ascii="Arial" w:cs="Arial" w:eastAsia="Arial" w:hAnsi="Arial"/>
                <w:b/>
                <w:bCs/>
                <w:color w:val="FFFFFF"/>
                <w:sz w:val="20"/>
                <w:szCs w:val="20"/>
              </w:rPr>
              <w:t xml:space="preserve">Cumberland Council</w:t>
            </w:r>
          </w:p>
        </w:tc>
      </w:tr>
      <w:tr>
        <w:tc>
          <w:tcPr>
            <w:tcW w:type="dxa" w:w="2409"/>
            <w:tcBorders>
              <w:top w:val="single" w:color="CCCCCC" w:sz="1"/>
              <w:left w:val="single" w:color="CCCCCC" w:sz="1"/>
              <w:bottom w:val="single" w:color="CCCCCC" w:sz="1"/>
              <w:right w:val="single" w:color="CCCCCC" w:sz="1"/>
            </w:tcBorders>
            <w:shd w:fill="F5F5F5" w:val="clear"/>
            <w:tcMar>
              <w:top w:type="dxa" w:w="160"/>
              <w:left w:type="dxa" w:w="160"/>
              <w:bottom w:type="dxa" w:w="160"/>
              <w:right w:type="dxa" w:w="160"/>
            </w:tcMar>
            <w:vAlign w:val="center"/>
          </w:tcPr>
          <w:p>
            <w:pPr>
              <w:jc w:val="center"/>
            </w:pPr>
            <w:r>
              <w:rPr>
                <w:rFonts w:ascii="Arial" w:cs="Arial" w:eastAsia="Arial" w:hAnsi="Arial"/>
                <w:b/>
                <w:bCs/>
                <w:color w:val="1a1a2e"/>
                <w:sz w:val="20"/>
                <w:szCs w:val="20"/>
              </w:rPr>
              <w:t xml:space="preserve">PH Partnership</w:t>
            </w:r>
          </w:p>
        </w:tc>
        <w:tc>
          <w:tcPr>
            <w:tcW w:type="dxa" w:w="2409"/>
            <w:tcBorders>
              <w:top w:val="single" w:color="CCCCCC" w:sz="1"/>
              <w:left w:val="single" w:color="CCCCCC" w:sz="1"/>
              <w:bottom w:val="single" w:color="CCCCCC" w:sz="1"/>
              <w:right w:val="single" w:color="CCCCCC" w:sz="1"/>
            </w:tcBorders>
            <w:shd w:fill="F5F5F5" w:val="clear"/>
            <w:tcMar>
              <w:top w:type="dxa" w:w="160"/>
              <w:left w:type="dxa" w:w="160"/>
              <w:bottom w:type="dxa" w:w="160"/>
              <w:right w:type="dxa" w:w="160"/>
            </w:tcMar>
            <w:vAlign w:val="center"/>
          </w:tcPr>
          <w:p>
            <w:pPr>
              <w:jc w:val="center"/>
            </w:pPr>
            <w:r>
              <w:rPr>
                <w:rFonts w:ascii="Arial" w:cs="Arial" w:eastAsia="Arial" w:hAnsi="Arial"/>
                <w:b/>
                <w:bCs/>
                <w:color w:val="1a1a2e"/>
                <w:sz w:val="20"/>
                <w:szCs w:val="20"/>
              </w:rPr>
              <w:t xml:space="preserve">Mitie</w:t>
            </w:r>
          </w:p>
        </w:tc>
        <w:tc>
          <w:tcPr>
            <w:tcW w:type="dxa" w:w="2409"/>
            <w:tcBorders>
              <w:top w:val="single" w:color="CCCCCC" w:sz="1"/>
              <w:left w:val="single" w:color="CCCCCC" w:sz="1"/>
              <w:bottom w:val="single" w:color="CCCCCC" w:sz="1"/>
              <w:right w:val="single" w:color="CCCCCC" w:sz="1"/>
            </w:tcBorders>
            <w:shd w:fill="F5F5F5" w:val="clear"/>
            <w:tcMar>
              <w:top w:type="dxa" w:w="160"/>
              <w:left w:type="dxa" w:w="160"/>
              <w:bottom w:type="dxa" w:w="160"/>
              <w:right w:type="dxa" w:w="160"/>
            </w:tcMar>
            <w:vAlign w:val="center"/>
          </w:tcPr>
          <w:p>
            <w:pPr>
              <w:jc w:val="center"/>
            </w:pPr>
            <w:r>
              <w:rPr>
                <w:rFonts w:ascii="Arial" w:cs="Arial" w:eastAsia="Arial" w:hAnsi="Arial"/>
                <w:b/>
                <w:bCs/>
                <w:color w:val="1a1a2e"/>
                <w:sz w:val="20"/>
                <w:szCs w:val="20"/>
              </w:rPr>
              <w:t xml:space="preserve">M+W Group</w:t>
            </w:r>
          </w:p>
        </w:tc>
        <w:tc>
          <w:tcPr>
            <w:tcW w:type="dxa" w:w="2409"/>
            <w:tcBorders>
              <w:top w:val="single" w:color="CCCCCC" w:sz="1"/>
              <w:left w:val="single" w:color="CCCCCC" w:sz="1"/>
              <w:bottom w:val="single" w:color="CCCCCC" w:sz="1"/>
              <w:right w:val="single" w:color="CCCCCC" w:sz="1"/>
            </w:tcBorders>
            <w:shd w:fill="F5F5F5" w:val="clear"/>
            <w:tcMar>
              <w:top w:type="dxa" w:w="160"/>
              <w:left w:type="dxa" w:w="160"/>
              <w:bottom w:type="dxa" w:w="160"/>
              <w:right w:type="dxa" w:w="160"/>
            </w:tcMar>
            <w:vAlign w:val="center"/>
          </w:tcPr>
          <w:p>
            <w:pPr>
              <w:jc w:val="center"/>
            </w:pPr>
            <w:r>
              <w:rPr>
                <w:rFonts w:ascii="Arial" w:cs="Arial" w:eastAsia="Arial" w:hAnsi="Arial"/>
                <w:b/>
                <w:bCs/>
                <w:color w:val="1a1a2e"/>
                <w:sz w:val="20"/>
                <w:szCs w:val="20"/>
              </w:rPr>
              <w:t xml:space="preserve">Balfour Beatty</w:t>
            </w:r>
          </w:p>
        </w:tc>
      </w:tr>
    </w:tbl>
    <w:p>
      <w:r>
        <w:br w:type="page"/>
      </w:r>
    </w:p>
    <w:p>
      <w:pPr>
        <w:spacing w:after="80" w:before="300"/>
      </w:pPr>
      <w:r>
        <w:rPr>
          <w:rFonts w:ascii="Arial" w:cs="Arial" w:eastAsia="Arial" w:hAnsi="Arial"/>
          <w:b/>
          <w:bCs/>
          <w:color w:val="C8922A"/>
          <w:sz w:val="18"/>
          <w:szCs w:val="18"/>
        </w:rPr>
        <w:t xml:space="preserve">ACCREDITATIONS &amp; STANDARDS</w:t>
      </w:r>
    </w:p>
    <w:p>
      <w:pPr>
        <w:spacing w:after="200" w:before="200"/>
      </w:pPr>
      <w:r>
        <w:rPr>
          <w:rFonts w:ascii="Arial" w:cs="Arial" w:eastAsia="Arial" w:hAnsi="Arial"/>
          <w:b/>
          <w:bCs/>
          <w:color w:val="1a1a2e"/>
          <w:sz w:val="40"/>
          <w:szCs w:val="40"/>
        </w:rPr>
        <w:t xml:space="preserve">Recognised for Quality</w:t>
      </w:r>
    </w:p>
    <w:p>
      <w:pPr>
        <w:spacing w:after="160"/>
      </w:pPr>
      <w:r>
        <w:rPr>
          <w:rFonts w:ascii="Arial" w:cs="Arial" w:eastAsia="Arial" w:hAnsi="Arial"/>
          <w:color w:val="1a1a2e"/>
          <w:sz w:val="22"/>
          <w:szCs w:val="22"/>
        </w:rPr>
        <w:t xml:space="preserve">Our accreditations are not just certificates on a wall. They are the foundation of the trust our clients and contract partners place in us.</w:t>
      </w:r>
    </w:p>
    <w:p>
      <w:pPr>
        <w:spacing w:after="0" w:before="2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c>
          <w:tcPr>
            <w:tcW w:type="dxa" w:w="225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vAlign w:val="center"/>
          </w:tcPr>
          <w:p>
            <w:pPr>
              <w:spacing w:after="60"/>
              <w:jc w:val="center"/>
            </w:pPr>
            <w:r>
              <w:rPr>
                <w:rFonts w:ascii="Arial" w:cs="Arial" w:eastAsia="Arial" w:hAnsi="Arial"/>
                <w:b/>
                <w:bCs/>
                <w:color w:val="1a1a2e"/>
                <w:sz w:val="19"/>
                <w:szCs w:val="19"/>
              </w:rPr>
              <w:t xml:space="preserve">ISO 9001</w:t>
            </w:r>
          </w:p>
          <w:p>
            <w:pPr>
              <w:jc w:val="center"/>
            </w:pPr>
            <w:r>
              <w:rPr>
                <w:rFonts w:ascii="Arial" w:cs="Arial" w:eastAsia="Arial" w:hAnsi="Arial"/>
                <w:color w:val="666666"/>
                <w:sz w:val="17"/>
                <w:szCs w:val="17"/>
              </w:rPr>
              <w:t xml:space="preserve">Quality Management</w:t>
            </w:r>
          </w:p>
        </w:tc>
        <w:tc>
          <w:tcPr>
            <w:tcW w:type="dxa" w:w="225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vAlign w:val="center"/>
          </w:tcPr>
          <w:p>
            <w:pPr>
              <w:spacing w:after="60"/>
              <w:jc w:val="center"/>
            </w:pPr>
            <w:r>
              <w:rPr>
                <w:rFonts w:ascii="Arial" w:cs="Arial" w:eastAsia="Arial" w:hAnsi="Arial"/>
                <w:b/>
                <w:bCs/>
                <w:color w:val="1a1a2e"/>
                <w:sz w:val="19"/>
                <w:szCs w:val="19"/>
              </w:rPr>
              <w:t xml:space="preserve">CHAS</w:t>
            </w:r>
          </w:p>
          <w:p>
            <w:pPr>
              <w:jc w:val="center"/>
            </w:pPr>
            <w:r>
              <w:rPr>
                <w:rFonts w:ascii="Arial" w:cs="Arial" w:eastAsia="Arial" w:hAnsi="Arial"/>
                <w:color w:val="666666"/>
                <w:sz w:val="17"/>
                <w:szCs w:val="17"/>
              </w:rPr>
              <w:t xml:space="preserve">Health &amp; Safety Assessment</w:t>
            </w:r>
          </w:p>
        </w:tc>
        <w:tc>
          <w:tcPr>
            <w:tcW w:type="dxa" w:w="225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vAlign w:val="center"/>
          </w:tcPr>
          <w:p>
            <w:pPr>
              <w:spacing w:after="60"/>
              <w:jc w:val="center"/>
            </w:pPr>
            <w:r>
              <w:rPr>
                <w:rFonts w:ascii="Arial" w:cs="Arial" w:eastAsia="Arial" w:hAnsi="Arial"/>
                <w:b/>
                <w:bCs/>
                <w:color w:val="1a1a2e"/>
                <w:sz w:val="19"/>
                <w:szCs w:val="19"/>
              </w:rPr>
              <w:t xml:space="preserve">NFB Member</w:t>
            </w:r>
          </w:p>
          <w:p>
            <w:pPr>
              <w:jc w:val="center"/>
            </w:pPr>
            <w:r>
              <w:rPr>
                <w:rFonts w:ascii="Arial" w:cs="Arial" w:eastAsia="Arial" w:hAnsi="Arial"/>
                <w:color w:val="666666"/>
                <w:sz w:val="17"/>
                <w:szCs w:val="17"/>
              </w:rPr>
              <w:t xml:space="preserve">National Federation of Builders</w:t>
            </w:r>
          </w:p>
        </w:tc>
        <w:tc>
          <w:tcPr>
            <w:tcW w:type="dxa" w:w="225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vAlign w:val="center"/>
          </w:tcPr>
          <w:p>
            <w:pPr>
              <w:spacing w:after="60"/>
              <w:jc w:val="center"/>
            </w:pPr>
            <w:r>
              <w:rPr>
                <w:rFonts w:ascii="Arial" w:cs="Arial" w:eastAsia="Arial" w:hAnsi="Arial"/>
                <w:b/>
                <w:bCs/>
                <w:color w:val="1a1a2e"/>
                <w:sz w:val="19"/>
                <w:szCs w:val="19"/>
              </w:rPr>
              <w:t xml:space="preserve">NFB Heritage</w:t>
            </w:r>
          </w:p>
          <w:p>
            <w:pPr>
              <w:jc w:val="center"/>
            </w:pPr>
            <w:r>
              <w:rPr>
                <w:rFonts w:ascii="Arial" w:cs="Arial" w:eastAsia="Arial" w:hAnsi="Arial"/>
                <w:color w:val="666666"/>
                <w:sz w:val="17"/>
                <w:szCs w:val="17"/>
              </w:rPr>
              <w:t xml:space="preserve">Heritage Group Member</w:t>
            </w:r>
          </w:p>
        </w:tc>
      </w:tr>
      <w:tr>
        <w:tc>
          <w:tcPr>
            <w:tcW w:type="dxa" w:w="225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vAlign w:val="center"/>
          </w:tcPr>
          <w:p>
            <w:pPr>
              <w:spacing w:after="60"/>
              <w:jc w:val="center"/>
            </w:pPr>
            <w:r>
              <w:rPr>
                <w:rFonts w:ascii="Arial" w:cs="Arial" w:eastAsia="Arial" w:hAnsi="Arial"/>
                <w:b/>
                <w:bCs/>
                <w:color w:val="1a1a2e"/>
                <w:sz w:val="19"/>
                <w:szCs w:val="19"/>
              </w:rPr>
              <w:t xml:space="preserve">Sellafield PPP</w:t>
            </w:r>
          </w:p>
          <w:p>
            <w:pPr>
              <w:jc w:val="center"/>
            </w:pPr>
            <w:r>
              <w:rPr>
                <w:rFonts w:ascii="Arial" w:cs="Arial" w:eastAsia="Arial" w:hAnsi="Arial"/>
                <w:color w:val="666666"/>
                <w:sz w:val="17"/>
                <w:szCs w:val="17"/>
              </w:rPr>
              <w:t xml:space="preserve">Approved Supplier</w:t>
            </w:r>
          </w:p>
        </w:tc>
        <w:tc>
          <w:tcPr>
            <w:tcW w:type="dxa" w:w="225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vAlign w:val="center"/>
          </w:tcPr>
          <w:p>
            <w:pPr>
              <w:spacing w:after="60"/>
              <w:jc w:val="center"/>
            </w:pPr>
            <w:r>
              <w:rPr>
                <w:rFonts w:ascii="Arial" w:cs="Arial" w:eastAsia="Arial" w:hAnsi="Arial"/>
                <w:b/>
                <w:bCs/>
                <w:color w:val="1a1a2e"/>
                <w:sz w:val="19"/>
                <w:szCs w:val="19"/>
              </w:rPr>
              <w:t xml:space="preserve">Cumberland Council</w:t>
            </w:r>
          </w:p>
          <w:p>
            <w:pPr>
              <w:jc w:val="center"/>
            </w:pPr>
            <w:r>
              <w:rPr>
                <w:rFonts w:ascii="Arial" w:cs="Arial" w:eastAsia="Arial" w:hAnsi="Arial"/>
                <w:color w:val="666666"/>
                <w:sz w:val="17"/>
                <w:szCs w:val="17"/>
              </w:rPr>
              <w:t xml:space="preserve">Approved Framework Contractor</w:t>
            </w:r>
          </w:p>
        </w:tc>
        <w:tc>
          <w:tcPr>
            <w:tcW w:type="dxa" w:w="225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vAlign w:val="center"/>
          </w:tcPr>
          <w:p>
            <w:pPr>
              <w:spacing w:after="60"/>
              <w:jc w:val="center"/>
            </w:pPr>
            <w:r>
              <w:rPr>
                <w:rFonts w:ascii="Arial" w:cs="Arial" w:eastAsia="Arial" w:hAnsi="Arial"/>
                <w:b/>
                <w:bCs/>
                <w:color w:val="1a1a2e"/>
                <w:sz w:val="19"/>
                <w:szCs w:val="19"/>
              </w:rPr>
              <w:t xml:space="preserve">LABC Award</w:t>
            </w:r>
          </w:p>
          <w:p>
            <w:pPr>
              <w:jc w:val="center"/>
            </w:pPr>
            <w:r>
              <w:rPr>
                <w:rFonts w:ascii="Arial" w:cs="Arial" w:eastAsia="Arial" w:hAnsi="Arial"/>
                <w:color w:val="666666"/>
                <w:sz w:val="17"/>
                <w:szCs w:val="17"/>
              </w:rPr>
              <w:t xml:space="preserve">Best Individual New Home x2</w:t>
            </w:r>
          </w:p>
        </w:tc>
        <w:tc>
          <w:tcPr>
            <w:tcW w:type="dxa" w:w="225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vAlign w:val="center"/>
          </w:tcPr>
          <w:p>
            <w:pPr>
              <w:spacing w:after="60"/>
              <w:jc w:val="center"/>
            </w:pPr>
            <w:r>
              <w:rPr>
                <w:rFonts w:ascii="Arial" w:cs="Arial" w:eastAsia="Arial" w:hAnsi="Arial"/>
                <w:b/>
                <w:bCs/>
                <w:color w:val="1a1a2e"/>
                <w:sz w:val="19"/>
                <w:szCs w:val="19"/>
              </w:rPr>
              <w:t xml:space="preserve">Cumbria Chamber</w:t>
            </w:r>
          </w:p>
          <w:p>
            <w:pPr>
              <w:jc w:val="center"/>
            </w:pPr>
            <w:r>
              <w:rPr>
                <w:rFonts w:ascii="Arial" w:cs="Arial" w:eastAsia="Arial" w:hAnsi="Arial"/>
                <w:color w:val="666666"/>
                <w:sz w:val="17"/>
                <w:szCs w:val="17"/>
              </w:rPr>
              <w:t xml:space="preserve">of Commerce Member</w:t>
            </w:r>
          </w:p>
        </w:tc>
      </w:tr>
      <w:tr>
        <w:tc>
          <w:tcPr>
            <w:tcW w:type="dxa" w:w="2250"/>
            <w:tcBorders>
              <w:top w:val="single" w:color="CCCCCC" w:sz="1"/>
              <w:left w:val="single" w:color="CCCCCC" w:sz="1"/>
              <w:bottom w:val="single" w:color="CCCCCC" w:sz="1"/>
              <w:right w:val="single" w:color="CCCCCC" w:sz="1"/>
            </w:tcBorders>
            <w:shd w:fill="F5F5F5" w:val="clear"/>
            <w:tcMar>
              <w:top w:type="dxa" w:w="160"/>
              <w:left w:type="dxa" w:w="200"/>
              <w:bottom w:type="dxa" w:w="160"/>
              <w:right w:type="dxa" w:w="200"/>
            </w:tcMar>
            <w:vAlign w:val="center"/>
          </w:tcPr>
          <w:p>
            <w:pPr>
              <w:spacing w:after="60"/>
              <w:jc w:val="center"/>
            </w:pPr>
            <w:r>
              <w:rPr>
                <w:rFonts w:ascii="Arial" w:cs="Arial" w:eastAsia="Arial" w:hAnsi="Arial"/>
                <w:b/>
                <w:bCs/>
                <w:color w:val="1a1a2e"/>
                <w:sz w:val="19"/>
                <w:szCs w:val="19"/>
              </w:rPr>
              <w:t xml:space="preserve">FIRAS</w:t>
            </w:r>
          </w:p>
          <w:p>
            <w:pPr>
              <w:jc w:val="center"/>
            </w:pPr>
            <w:r>
              <w:rPr>
                <w:rFonts w:ascii="Arial" w:cs="Arial" w:eastAsia="Arial" w:hAnsi="Arial"/>
                <w:color w:val="666666"/>
                <w:sz w:val="17"/>
                <w:szCs w:val="17"/>
              </w:rPr>
              <w:t xml:space="preserve">In Progress</w:t>
            </w:r>
          </w:p>
        </w:tc>
        <w:tc>
          <w:tcPr>
            <w:tcW w:type="dxa" w:w="2409"/>
            <w:tcBorders>
              <w:top w:val="none" w:color="FFFFFF" w:sz="0"/>
              <w:left w:val="none" w:color="FFFFFF" w:sz="0"/>
              <w:bottom w:val="none" w:color="FFFFFF" w:sz="0"/>
              <w:right w:val="none" w:color="FFFFFF" w:sz="0"/>
            </w:tcBorders>
          </w:tcPr>
          <w:p/>
        </w:tc>
        <w:tc>
          <w:tcPr>
            <w:tcW w:type="dxa" w:w="2409"/>
            <w:tcBorders>
              <w:top w:val="none" w:color="FFFFFF" w:sz="0"/>
              <w:left w:val="none" w:color="FFFFFF" w:sz="0"/>
              <w:bottom w:val="none" w:color="FFFFFF" w:sz="0"/>
              <w:right w:val="none" w:color="FFFFFF" w:sz="0"/>
            </w:tcBorders>
          </w:tcPr>
          <w:p/>
        </w:tc>
        <w:tc>
          <w:tcPr>
            <w:tcW w:type="dxa" w:w="2411"/>
            <w:tcBorders>
              <w:top w:val="none" w:color="FFFFFF" w:sz="0"/>
              <w:left w:val="none" w:color="FFFFFF" w:sz="0"/>
              <w:bottom w:val="none" w:color="FFFFFF" w:sz="0"/>
              <w:right w:val="none" w:color="FFFFFF" w:sz="0"/>
            </w:tcBorders>
          </w:tcPr>
          <w:p/>
        </w:tc>
      </w:tr>
    </w:tbl>
    <w:p>
      <w:pPr>
        <w:spacing w:after="0" w:before="300"/>
      </w:pPr>
    </w:p>
    <w:p>
      <w:pPr>
        <w:pBdr>
          <w:bottom w:val="single" w:color="C8922A" w:sz="4" w:space="1"/>
        </w:pBdr>
        <w:spacing w:after="300" w:before="300"/>
      </w:pPr>
    </w:p>
    <w:p>
      <w:pPr>
        <w:spacing w:after="80" w:before="300"/>
      </w:pPr>
      <w:r>
        <w:rPr>
          <w:rFonts w:ascii="Arial" w:cs="Arial" w:eastAsia="Arial" w:hAnsi="Arial"/>
          <w:b/>
          <w:bCs/>
          <w:color w:val="C8922A"/>
          <w:sz w:val="18"/>
          <w:szCs w:val="18"/>
        </w:rPr>
        <w:t xml:space="preserve">LEADERSHIP &amp; KEY PEOPLE</w:t>
      </w:r>
    </w:p>
    <w:p>
      <w:pPr>
        <w:spacing w:after="160" w:before="240"/>
      </w:pPr>
      <w:r>
        <w:rPr>
          <w:rFonts w:ascii="Arial" w:cs="Arial" w:eastAsia="Arial" w:hAnsi="Arial"/>
          <w:b/>
          <w:bCs/>
          <w:color w:val="1a1a2e"/>
          <w:sz w:val="28"/>
          <w:szCs w:val="28"/>
        </w:rPr>
        <w:t xml:space="preserve">The Founders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769"/>
        <w:gridCol w:w="4769"/>
      </w:tblGrid>
      <w:tr>
        <w:tc>
          <w:tcPr>
            <w:tcW w:type="dxa" w:w="4769"/>
            <w:tcBorders>
              <w:top w:val="single" w:color="CCCCCC" w:sz="1"/>
              <w:left w:val="single" w:color="CCCCCC" w:sz="1"/>
              <w:bottom w:val="single" w:color="CCCCCC" w:sz="1"/>
              <w:right w:val="single" w:color="CCCCCC" w:sz="1"/>
            </w:tcBorders>
            <w:shd w:fill="1a1a2e" w:val="clear"/>
            <w:tcMar>
              <w:top w:type="dxa" w:w="200"/>
              <w:left w:type="dxa" w:w="240"/>
              <w:bottom w:type="dxa" w:w="200"/>
              <w:right w:type="dxa" w:w="240"/>
            </w:tcMar>
          </w:tcPr>
          <w:p>
            <w:pPr>
              <w:spacing w:after="60"/>
            </w:pPr>
            <w:r>
              <w:rPr>
                <w:rFonts w:ascii="Arial" w:cs="Arial" w:eastAsia="Arial" w:hAnsi="Arial"/>
                <w:b/>
                <w:bCs/>
                <w:color w:val="C8922A"/>
                <w:sz w:val="22"/>
                <w:szCs w:val="22"/>
              </w:rPr>
              <w:t xml:space="preserve">William King</w:t>
            </w:r>
          </w:p>
          <w:p>
            <w:pPr>
              <w:spacing w:after="80"/>
            </w:pPr>
            <w:r>
              <w:rPr>
                <w:rFonts w:ascii="Arial" w:cs="Arial" w:eastAsia="Arial" w:hAnsi="Arial"/>
                <w:color w:val="FFFFFF"/>
                <w:sz w:val="20"/>
                <w:szCs w:val="20"/>
              </w:rPr>
              <w:t xml:space="preserve">Director</w:t>
            </w:r>
          </w:p>
          <w:p>
            <w:r>
              <w:rPr>
                <w:rFonts w:ascii="Arial" w:cs="Arial" w:eastAsia="Arial" w:hAnsi="Arial"/>
                <w:color w:val="FFFFFF"/>
                <w:sz w:val="20"/>
                <w:szCs w:val="20"/>
              </w:rPr>
              <w:t xml:space="preserve">Business development, technical oversight and strategic leadership across the full range of the company's activities. With deep knowledge of the construction and nuclear sectors, William identifies strategic opportunities and ensures every project decision is grounded in both commercial and technical reality.</w:t>
            </w:r>
          </w:p>
        </w:tc>
        <w:tc>
          <w:tcPr>
            <w:tcW w:type="dxa" w:w="4769"/>
            <w:tcBorders>
              <w:top w:val="single" w:color="CCCCCC" w:sz="1"/>
              <w:left w:val="single" w:color="CCCCCC" w:sz="1"/>
              <w:bottom w:val="single" w:color="CCCCCC" w:sz="1"/>
              <w:right w:val="single" w:color="CCCCCC" w:sz="1"/>
            </w:tcBorders>
            <w:shd w:fill="1a1a2e" w:val="clear"/>
            <w:tcMar>
              <w:top w:type="dxa" w:w="200"/>
              <w:left w:type="dxa" w:w="240"/>
              <w:bottom w:type="dxa" w:w="200"/>
              <w:right w:type="dxa" w:w="240"/>
            </w:tcMar>
          </w:tcPr>
          <w:p>
            <w:pPr>
              <w:spacing w:after="60"/>
            </w:pPr>
            <w:r>
              <w:rPr>
                <w:rFonts w:ascii="Arial" w:cs="Arial" w:eastAsia="Arial" w:hAnsi="Arial"/>
                <w:b/>
                <w:bCs/>
                <w:color w:val="C8922A"/>
                <w:sz w:val="22"/>
                <w:szCs w:val="22"/>
              </w:rPr>
              <w:t xml:space="preserve">Lisa King</w:t>
            </w:r>
          </w:p>
          <w:p>
            <w:pPr>
              <w:spacing w:after="80"/>
            </w:pPr>
            <w:r>
              <w:rPr>
                <w:rFonts w:ascii="Arial" w:cs="Arial" w:eastAsia="Arial" w:hAnsi="Arial"/>
                <w:color w:val="FFFFFF"/>
                <w:sz w:val="20"/>
                <w:szCs w:val="20"/>
              </w:rPr>
              <w:t xml:space="preserve">Finance Director</w:t>
            </w:r>
          </w:p>
          <w:p>
            <w:r>
              <w:rPr>
                <w:rFonts w:ascii="Arial" w:cs="Arial" w:eastAsia="Arial" w:hAnsi="Arial"/>
                <w:color w:val="FFFFFF"/>
                <w:sz w:val="20"/>
                <w:szCs w:val="20"/>
              </w:rPr>
              <w:t xml:space="preserve">Financial management, governance and business stability. Lisa manages all aspects of the company's finances, from budgeting and forecasting to payroll and compliance, providing the strong operational and financial foundation that underpins everything the business does.</w:t>
            </w:r>
          </w:p>
        </w:tc>
      </w:tr>
    </w:tbl>
    <w:p>
      <w:pPr>
        <w:spacing w:after="0" w:before="300"/>
      </w:pPr>
    </w:p>
    <w:p>
      <w:pPr>
        <w:spacing w:after="80" w:before="300"/>
      </w:pPr>
      <w:r>
        <w:rPr>
          <w:rFonts w:ascii="Arial" w:cs="Arial" w:eastAsia="Arial" w:hAnsi="Arial"/>
          <w:b/>
          <w:bCs/>
          <w:color w:val="C8922A"/>
          <w:sz w:val="18"/>
          <w:szCs w:val="18"/>
        </w:rPr>
        <w:t xml:space="preserve">THE WIDER TEAM</w:t>
      </w:r>
    </w:p>
    <w:p>
      <w:pPr>
        <w:spacing w:after="160" w:before="240"/>
      </w:pPr>
      <w:r>
        <w:rPr>
          <w:rFonts w:ascii="Arial" w:cs="Arial" w:eastAsia="Arial" w:hAnsi="Arial"/>
          <w:b/>
          <w:bCs/>
          <w:color w:val="1a1a2e"/>
          <w:sz w:val="28"/>
          <w:szCs w:val="28"/>
        </w:rPr>
        <w:t xml:space="preserve">Sector Specialists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769"/>
        <w:gridCol w:w="4769"/>
      </w:tblGrid>
      <w:tr>
        <w:tc>
          <w:tcPr>
            <w:tcW w:type="dxa" w:w="4769"/>
            <w:tcBorders>
              <w:top w:val="single" w:color="CCCCCC" w:sz="1"/>
              <w:left w:val="single" w:color="CCCCCC" w:sz="1"/>
              <w:bottom w:val="single" w:color="CCCCCC" w:sz="1"/>
              <w:right w:val="single" w:color="CCCCCC" w:sz="1"/>
            </w:tcBorders>
            <w:shd w:fill="1a1a2e" w:val="clear"/>
            <w:tcMar>
              <w:top w:type="dxa" w:w="200"/>
              <w:left w:type="dxa" w:w="240"/>
              <w:bottom w:type="dxa" w:w="200"/>
              <w:right w:type="dxa" w:w="240"/>
            </w:tcMar>
          </w:tcPr>
          <w:p>
            <w:pPr>
              <w:spacing w:after="60"/>
            </w:pPr>
            <w:r>
              <w:rPr>
                <w:rFonts w:ascii="Arial" w:cs="Arial" w:eastAsia="Arial" w:hAnsi="Arial"/>
                <w:b/>
                <w:bCs/>
                <w:color w:val="C8922A"/>
                <w:sz w:val="22"/>
                <w:szCs w:val="22"/>
              </w:rPr>
              <w:t xml:space="preserve">Shawn Ackerlay</w:t>
            </w:r>
          </w:p>
          <w:p>
            <w:pPr>
              <w:spacing w:after="80"/>
            </w:pPr>
            <w:r>
              <w:rPr>
                <w:rFonts w:ascii="Arial" w:cs="Arial" w:eastAsia="Arial" w:hAnsi="Arial"/>
                <w:color w:val="FFFFFF"/>
                <w:sz w:val="20"/>
                <w:szCs w:val="20"/>
              </w:rPr>
              <w:t xml:space="preserve">Director</w:t>
            </w:r>
          </w:p>
          <w:p>
            <w:r>
              <w:rPr>
                <w:rFonts w:ascii="Arial" w:cs="Arial" w:eastAsia="Arial" w:hAnsi="Arial"/>
                <w:color w:val="FFFFFF"/>
                <w:sz w:val="20"/>
                <w:szCs w:val="20"/>
              </w:rPr>
              <w:t xml:space="preserve">Commercial strategy and principal liaison across nuclear and non-nuclear frameworks. Shawn brings extensive on-site experience across multiple contracts at Sellafield and other nuclear facilities across the UK, ensuring our commercial approach is always grounded in the realities of the environments we work in.</w:t>
            </w:r>
          </w:p>
        </w:tc>
        <w:tc>
          <w:tcPr>
            <w:tcW w:type="dxa" w:w="4769"/>
            <w:tcBorders>
              <w:top w:val="single" w:color="CCCCCC" w:sz="1"/>
              <w:left w:val="single" w:color="CCCCCC" w:sz="1"/>
              <w:bottom w:val="single" w:color="CCCCCC" w:sz="1"/>
              <w:right w:val="single" w:color="CCCCCC" w:sz="1"/>
            </w:tcBorders>
            <w:shd w:fill="1a1a2e" w:val="clear"/>
            <w:tcMar>
              <w:top w:type="dxa" w:w="200"/>
              <w:left w:type="dxa" w:w="240"/>
              <w:bottom w:type="dxa" w:w="200"/>
              <w:right w:type="dxa" w:w="240"/>
            </w:tcMar>
          </w:tcPr>
          <w:p>
            <w:pPr>
              <w:spacing w:after="60"/>
            </w:pPr>
            <w:r>
              <w:rPr>
                <w:rFonts w:ascii="Arial" w:cs="Arial" w:eastAsia="Arial" w:hAnsi="Arial"/>
                <w:b/>
                <w:bCs/>
                <w:color w:val="C8922A"/>
                <w:sz w:val="22"/>
                <w:szCs w:val="22"/>
              </w:rPr>
              <w:t xml:space="preserve">Richard Huby</w:t>
            </w:r>
          </w:p>
          <w:p>
            <w:pPr>
              <w:spacing w:after="80"/>
            </w:pPr>
            <w:r>
              <w:rPr>
                <w:rFonts w:ascii="Arial" w:cs="Arial" w:eastAsia="Arial" w:hAnsi="Arial"/>
                <w:color w:val="FFFFFF"/>
                <w:sz w:val="20"/>
                <w:szCs w:val="20"/>
              </w:rPr>
              <w:t xml:space="preserve">Health, Safety &amp; Environmental Lead</w:t>
            </w:r>
          </w:p>
          <w:p>
            <w:r>
              <w:rPr>
                <w:rFonts w:ascii="Arial" w:cs="Arial" w:eastAsia="Arial" w:hAnsi="Arial"/>
                <w:color w:val="FFFFFF"/>
                <w:sz w:val="20"/>
                <w:szCs w:val="20"/>
              </w:rPr>
              <w:t xml:space="preserve">Richard leads health, safety and environmental practice across William King Construction, ensuring the highest standards of compliance and continuous improvement are maintained on every site we operate. With a thorough understanding of the regulatory requirements that govern our work, including within safety-critical nuclear environments, Richard plays a central role in protecting our people, our clients and our projects at every stage of delivery.</w:t>
            </w:r>
          </w:p>
        </w:tc>
      </w:tr>
      <w:tr>
        <w:tc>
          <w:tcPr>
            <w:tcW w:type="dxa" w:w="4769"/>
            <w:tcBorders>
              <w:top w:val="single" w:color="CCCCCC" w:sz="1"/>
              <w:left w:val="single" w:color="CCCCCC" w:sz="1"/>
              <w:bottom w:val="single" w:color="CCCCCC" w:sz="1"/>
              <w:right w:val="single" w:color="CCCCCC" w:sz="1"/>
            </w:tcBorders>
            <w:shd w:fill="F5F5F5" w:val="clear"/>
            <w:tcMar>
              <w:top w:type="dxa" w:w="200"/>
              <w:left w:type="dxa" w:w="240"/>
              <w:bottom w:type="dxa" w:w="200"/>
              <w:right w:type="dxa" w:w="240"/>
            </w:tcMar>
          </w:tcPr>
          <w:p>
            <w:pPr>
              <w:spacing w:after="60"/>
            </w:pPr>
            <w:r>
              <w:rPr>
                <w:rFonts w:ascii="Arial" w:cs="Arial" w:eastAsia="Arial" w:hAnsi="Arial"/>
                <w:b/>
                <w:bCs/>
                <w:color w:val="1a1a2e"/>
                <w:sz w:val="22"/>
                <w:szCs w:val="22"/>
              </w:rPr>
              <w:t xml:space="preserve">Jamie Hetherington</w:t>
            </w:r>
          </w:p>
          <w:p>
            <w:pPr>
              <w:spacing w:after="80"/>
            </w:pPr>
            <w:r>
              <w:rPr>
                <w:rFonts w:ascii="Arial" w:cs="Arial" w:eastAsia="Arial" w:hAnsi="Arial"/>
                <w:color w:val="666666"/>
                <w:sz w:val="20"/>
                <w:szCs w:val="20"/>
              </w:rPr>
              <w:t xml:space="preserve">Operations Manager</w:t>
            </w:r>
          </w:p>
          <w:p>
            <w:r>
              <w:rPr>
                <w:rFonts w:ascii="Arial" w:cs="Arial" w:eastAsia="Arial" w:hAnsi="Arial"/>
                <w:color w:val="1a1a2e"/>
                <w:sz w:val="20"/>
                <w:szCs w:val="20"/>
              </w:rPr>
              <w:t xml:space="preserve">Delivery leadership across live non-nuclear projects. Jamie sits at the operational heart of the business, working closely with William and Shawn across both commercial and project functions, ensuring projects are delivered to programme and to the standard our clients expect.</w:t>
            </w:r>
          </w:p>
        </w:tc>
        <w:tc>
          <w:tcPr>
            <w:tcW w:type="dxa" w:w="4769"/>
            <w:tcBorders>
              <w:top w:val="single" w:color="CCCCCC" w:sz="1"/>
              <w:left w:val="single" w:color="CCCCCC" w:sz="1"/>
              <w:bottom w:val="single" w:color="CCCCCC" w:sz="1"/>
              <w:right w:val="single" w:color="CCCCCC" w:sz="1"/>
            </w:tcBorders>
            <w:shd w:fill="F5F5F5" w:val="clear"/>
            <w:tcMar>
              <w:top w:type="dxa" w:w="200"/>
              <w:left w:type="dxa" w:w="240"/>
              <w:bottom w:type="dxa" w:w="200"/>
              <w:right w:type="dxa" w:w="240"/>
            </w:tcMar>
          </w:tcPr>
          <w:p>
            <w:pPr>
              <w:spacing w:after="60"/>
            </w:pPr>
            <w:r>
              <w:rPr>
                <w:rFonts w:ascii="Arial" w:cs="Arial" w:eastAsia="Arial" w:hAnsi="Arial"/>
                <w:b/>
                <w:bCs/>
                <w:color w:val="1a1a2e"/>
                <w:sz w:val="22"/>
                <w:szCs w:val="22"/>
              </w:rPr>
              <w:t xml:space="preserve">Adrian Carlton</w:t>
            </w:r>
          </w:p>
          <w:p>
            <w:pPr>
              <w:spacing w:after="80"/>
            </w:pPr>
            <w:r>
              <w:rPr>
                <w:rFonts w:ascii="Arial" w:cs="Arial" w:eastAsia="Arial" w:hAnsi="Arial"/>
                <w:color w:val="666666"/>
                <w:sz w:val="20"/>
                <w:szCs w:val="20"/>
              </w:rPr>
              <w:t xml:space="preserve">Operations / Project Lead</w:t>
            </w:r>
          </w:p>
          <w:p>
            <w:r>
              <w:rPr>
                <w:rFonts w:ascii="Arial" w:cs="Arial" w:eastAsia="Arial" w:hAnsi="Arial"/>
                <w:color w:val="1a1a2e"/>
                <w:sz w:val="20"/>
                <w:szCs w:val="20"/>
              </w:rPr>
              <w:t xml:space="preserve">Adrian leads operational delivery across our live nuclear projects, bringing hands-on project management experience to some of the most technically demanding and compliance-driven environments we work in. With a focus on programme, quality and safety, Adrian ensures our nuclear contracts are delivered to the highest standards, on time and to the satisfaction of our clients and principal contractors.</w:t>
            </w:r>
          </w:p>
        </w:tc>
      </w:tr>
    </w:tbl>
    <w:p>
      <w:pPr>
        <w:spacing w:after="0" w:before="300"/>
      </w:pPr>
    </w:p>
    <w:p>
      <w:pPr>
        <w:pBdr>
          <w:bottom w:val="single" w:color="C8922A" w:sz="4" w:space="1"/>
        </w:pBdr>
        <w:spacing w:after="300" w:before="300"/>
      </w:pPr>
    </w:p>
    <w:p>
      <w:pPr>
        <w:spacing w:after="80" w:before="300"/>
      </w:pPr>
      <w:r>
        <w:rPr>
          <w:rFonts w:ascii="Arial" w:cs="Arial" w:eastAsia="Arial" w:hAnsi="Arial"/>
          <w:b/>
          <w:bCs/>
          <w:color w:val="C8922A"/>
          <w:sz w:val="18"/>
          <w:szCs w:val="18"/>
        </w:rPr>
        <w:t xml:space="preserve">CONTACT US</w:t>
      </w:r>
    </w:p>
    <w:p>
      <w:pPr>
        <w:spacing w:after="160" w:before="240"/>
      </w:pPr>
      <w:r>
        <w:rPr>
          <w:rFonts w:ascii="Arial" w:cs="Arial" w:eastAsia="Arial" w:hAnsi="Arial"/>
          <w:b/>
          <w:bCs/>
          <w:color w:val="1a1a2e"/>
          <w:sz w:val="28"/>
          <w:szCs w:val="28"/>
        </w:rPr>
        <w:t xml:space="preserve">Start a Conversation</w:t>
      </w:r>
    </w:p>
    <w:p>
      <w:pPr>
        <w:spacing w:after="160"/>
      </w:pPr>
      <w:r>
        <w:rPr>
          <w:rFonts w:ascii="Arial" w:cs="Arial" w:eastAsia="Arial" w:hAnsi="Arial"/>
          <w:color w:val="1a1a2e"/>
          <w:sz w:val="22"/>
          <w:szCs w:val="22"/>
        </w:rPr>
        <w:t xml:space="preserve">Whether you have a project ready to go, a framework opportunity to discuss or simply want to find out more about working with William King Construction, we would love to hear from you.</w:t>
      </w:r>
    </w:p>
    <w:p>
      <w:pPr>
        <w:spacing w:after="0" w:before="2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Borders>
              <w:top w:val="none" w:color="FFFFFF" w:sz="0"/>
              <w:left w:val="none" w:color="FFFFFF" w:sz="0"/>
              <w:bottom w:val="none" w:color="FFFFFF" w:sz="0"/>
              <w:right w:val="none" w:color="FFFFFF" w:sz="0"/>
            </w:tcBorders>
            <w:shd w:fill="1a1a2e" w:val="clear"/>
            <w:tcMar>
              <w:top w:type="dxa" w:w="300"/>
              <w:left w:type="dxa" w:w="400"/>
              <w:bottom w:type="dxa" w:w="300"/>
              <w:right w:type="dxa" w:w="400"/>
            </w:tcMar>
          </w:tcPr>
          <w:p>
            <w:pPr>
              <w:spacing w:after="120"/>
            </w:pPr>
            <w:r>
              <w:rPr>
                <w:rFonts w:ascii="Arial" w:cs="Arial" w:eastAsia="Arial" w:hAnsi="Arial"/>
                <w:b/>
                <w:bCs/>
                <w:color w:val="FFFFFF"/>
                <w:sz w:val="26"/>
                <w:szCs w:val="26"/>
              </w:rPr>
              <w:t xml:space="preserve">WILLIAM KING CONSTRUCTION</w:t>
            </w:r>
          </w:p>
          <w:p>
            <w:pPr>
              <w:spacing w:after="80"/>
            </w:pPr>
            <w:r>
              <w:rPr>
                <w:rFonts w:ascii="Arial" w:cs="Arial" w:eastAsia="Arial" w:hAnsi="Arial"/>
                <w:b/>
                <w:bCs/>
                <w:color w:val="C8922A"/>
                <w:sz w:val="22"/>
                <w:szCs w:val="22"/>
              </w:rPr>
              <w:t xml:space="preserve">T: </w:t>
            </w:r>
            <w:r>
              <w:rPr>
                <w:rFonts w:ascii="Arial" w:cs="Arial" w:eastAsia="Arial" w:hAnsi="Arial"/>
                <w:color w:val="FFFFFF"/>
                <w:sz w:val="22"/>
                <w:szCs w:val="22"/>
              </w:rPr>
              <w:t xml:space="preserve">01946 448123</w:t>
            </w:r>
          </w:p>
          <w:p>
            <w:pPr>
              <w:spacing w:after="80"/>
            </w:pPr>
            <w:r>
              <w:rPr>
                <w:rFonts w:ascii="Arial" w:cs="Arial" w:eastAsia="Arial" w:hAnsi="Arial"/>
                <w:b/>
                <w:bCs/>
                <w:color w:val="C8922A"/>
                <w:sz w:val="22"/>
                <w:szCs w:val="22"/>
              </w:rPr>
              <w:t xml:space="preserve">E: </w:t>
            </w:r>
            <w:r>
              <w:rPr>
                <w:rFonts w:ascii="Arial" w:cs="Arial" w:eastAsia="Arial" w:hAnsi="Arial"/>
                <w:color w:val="FFFFFF"/>
                <w:sz w:val="22"/>
                <w:szCs w:val="22"/>
              </w:rPr>
              <w:t xml:space="preserve">info@williamkingconstruction.co.uk</w:t>
            </w:r>
          </w:p>
          <w:p>
            <w:pPr>
              <w:spacing w:after="80"/>
            </w:pPr>
            <w:r>
              <w:rPr>
                <w:rFonts w:ascii="Arial" w:cs="Arial" w:eastAsia="Arial" w:hAnsi="Arial"/>
                <w:b/>
                <w:bCs/>
                <w:color w:val="C8922A"/>
                <w:sz w:val="22"/>
                <w:szCs w:val="22"/>
              </w:rPr>
              <w:t xml:space="preserve">W: </w:t>
            </w:r>
            <w:r>
              <w:rPr>
                <w:rFonts w:ascii="Arial" w:cs="Arial" w:eastAsia="Arial" w:hAnsi="Arial"/>
                <w:color w:val="FFFFFF"/>
                <w:sz w:val="22"/>
                <w:szCs w:val="22"/>
              </w:rPr>
              <w:t xml:space="preserve">williamkingconstruction.co.uk</w:t>
            </w:r>
          </w:p>
          <w:p>
            <w:pPr>
              <w:spacing w:after="0" w:before="100"/>
            </w:pPr>
          </w:p>
          <w:p>
            <w:pPr>
              <w:spacing w:after="60"/>
            </w:pPr>
            <w:r>
              <w:rPr>
                <w:rFonts w:ascii="Arial" w:cs="Arial" w:eastAsia="Arial" w:hAnsi="Arial"/>
                <w:b/>
                <w:bCs/>
                <w:color w:val="C8922A"/>
                <w:sz w:val="18"/>
                <w:szCs w:val="18"/>
              </w:rPr>
              <w:t xml:space="preserve">HEAD OFFICE</w:t>
            </w:r>
          </w:p>
          <w:p>
            <w:pPr>
              <w:spacing w:after="80"/>
            </w:pPr>
            <w:r>
              <w:rPr>
                <w:rFonts w:ascii="Arial" w:cs="Arial" w:eastAsia="Arial" w:hAnsi="Arial"/>
                <w:color w:val="FFFFFF"/>
                <w:sz w:val="20"/>
                <w:szCs w:val="20"/>
              </w:rPr>
              <w:t xml:space="preserve">Westlakes Science Park, Moor Row, CA24 3JZ</w:t>
            </w:r>
          </w:p>
          <w:p>
            <w:pPr>
              <w:spacing w:after="60"/>
            </w:pPr>
            <w:r>
              <w:rPr>
                <w:rFonts w:ascii="Arial" w:cs="Arial" w:eastAsia="Arial" w:hAnsi="Arial"/>
                <w:b/>
                <w:bCs/>
                <w:color w:val="C8922A"/>
                <w:sz w:val="18"/>
                <w:szCs w:val="18"/>
              </w:rPr>
              <w:t xml:space="preserve">SELLAFIELD OFFICE</w:t>
            </w:r>
          </w:p>
          <w:p>
            <w:pPr>
              <w:spacing w:after="80"/>
            </w:pPr>
            <w:r>
              <w:rPr>
                <w:rFonts w:ascii="Arial" w:cs="Arial" w:eastAsia="Arial" w:hAnsi="Arial"/>
                <w:color w:val="FFFFFF"/>
                <w:sz w:val="20"/>
                <w:szCs w:val="20"/>
              </w:rPr>
              <w:t xml:space="preserve">Industrial Park, Unit 16 Cross Lanes, Gosforth Road, Seascale, CA20 1FB</w:t>
            </w:r>
          </w:p>
          <w:p>
            <w:pPr>
              <w:spacing w:after="60"/>
            </w:pPr>
            <w:r>
              <w:rPr>
                <w:rFonts w:ascii="Arial" w:cs="Arial" w:eastAsia="Arial" w:hAnsi="Arial"/>
                <w:b/>
                <w:bCs/>
                <w:color w:val="C8922A"/>
                <w:sz w:val="18"/>
                <w:szCs w:val="18"/>
              </w:rPr>
              <w:t xml:space="preserve">LONDON OFFICE</w:t>
            </w:r>
          </w:p>
          <w:p>
            <w:r>
              <w:rPr>
                <w:rFonts w:ascii="Arial" w:cs="Arial" w:eastAsia="Arial" w:hAnsi="Arial"/>
                <w:color w:val="FFFFFF"/>
                <w:sz w:val="20"/>
                <w:szCs w:val="20"/>
              </w:rPr>
              <w:t xml:space="preserve">167-169 Great Portland Street, London, W1W 5PF</w:t>
            </w:r>
          </w:p>
        </w:tc>
      </w:tr>
    </w:tbl>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200" w:before="200"/>
      <w:outlineLvl w:val="0"/>
    </w:pPr>
    <w:rPr>
      <w:rFonts w:ascii="Arial" w:cs="Arial" w:eastAsia="Arial" w:hAnsi="Arial"/>
      <w:b/>
      <w:bCs/>
      <w:color w:val="1a1a2e"/>
      <w:sz w:val="40"/>
      <w:szCs w:val="40"/>
    </w:rPr>
  </w:style>
  <w:style w:type="paragraph" w:styleId="Heading2">
    <w:name w:val="Heading 2"/>
    <w:basedOn w:val="Normal"/>
    <w:next w:val="Normal"/>
    <w:pPr>
      <w:spacing w:after="160" w:before="240"/>
      <w:outlineLvl w:val="1"/>
    </w:pPr>
    <w:rPr>
      <w:rFonts w:ascii="Arial" w:cs="Arial" w:eastAsia="Arial" w:hAnsi="Arial"/>
      <w:b/>
      <w:bCs/>
      <w:color w:val="1a1a2e"/>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2026-07-06T14:39:30.470Z</dcterms:created>
  <dcterms:modified xsi:type="dcterms:W3CDTF">2026-07-06T14:39:30.484Z</dcterms:modified>
</cp:coreProperties>
</file>

<file path=docProps/custom.xml><?xml version="1.0" encoding="utf-8"?>
<Properties xmlns="http://schemas.openxmlformats.org/officeDocument/2006/custom-properties" xmlns:vt="http://schemas.openxmlformats.org/officeDocument/2006/docPropsVTypes"/>
</file>